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69" w:rsidRPr="00E36FC1" w:rsidRDefault="00E36FC1" w:rsidP="00E36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FC1">
        <w:rPr>
          <w:rFonts w:ascii="Times New Roman" w:hAnsi="Times New Roman" w:cs="Times New Roman"/>
          <w:b/>
          <w:sz w:val="28"/>
          <w:szCs w:val="28"/>
        </w:rPr>
        <w:t xml:space="preserve">Привлечение денежных средств </w:t>
      </w:r>
    </w:p>
    <w:p w:rsidR="00E36FC1" w:rsidRDefault="00E36FC1" w:rsidP="00E36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FC1">
        <w:rPr>
          <w:rFonts w:ascii="Times New Roman" w:hAnsi="Times New Roman" w:cs="Times New Roman"/>
          <w:b/>
          <w:sz w:val="28"/>
          <w:szCs w:val="28"/>
        </w:rPr>
        <w:t>кредитным потребительским кооперативом "Касса взаимного кредита"</w:t>
      </w:r>
    </w:p>
    <w:p w:rsidR="00E36FC1" w:rsidRDefault="00E36FC1" w:rsidP="00E36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(ИНН 2203020655, ОГРН 1062203020978)</w:t>
      </w:r>
    </w:p>
    <w:p w:rsidR="00E36FC1" w:rsidRDefault="00E36FC1" w:rsidP="00E36F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4C4" w:rsidRDefault="00E36FC1" w:rsidP="00E36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C314C4" w:rsidRPr="00E36FC1" w:rsidRDefault="00E36FC1" w:rsidP="00C31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86"/>
        <w:gridCol w:w="3390"/>
        <w:gridCol w:w="2037"/>
        <w:gridCol w:w="1984"/>
      </w:tblGrid>
      <w:tr w:rsidR="00C314C4" w:rsidRPr="0036224A" w:rsidTr="00C831FA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C4" w:rsidRPr="00C314C4" w:rsidRDefault="00C314C4" w:rsidP="00C8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 подразделения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C4" w:rsidRPr="00C314C4" w:rsidRDefault="00C314C4" w:rsidP="00C8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C4" w:rsidRPr="00C314C4" w:rsidRDefault="00C314C4" w:rsidP="00C8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C314C4" w:rsidTr="00C314C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офис кооператива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659900, Алтайский край, г. Белокуриха, ул.Партизанская, 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с 8.30 до 17.30 без перерыва на 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8-38577 32946,</w:t>
            </w:r>
          </w:p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8-38577 22502</w:t>
            </w:r>
          </w:p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8 903 912 22 18</w:t>
            </w:r>
          </w:p>
        </w:tc>
      </w:tr>
      <w:tr w:rsidR="00C314C4" w:rsidTr="00C314C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с.Советское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659540, Алтайский край, Советский р-н, с.Советское, ул.Октябрьская,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с 9.00 до 17.00 обед с 13 до 14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8 38598 21722</w:t>
            </w:r>
          </w:p>
        </w:tc>
      </w:tr>
      <w:tr w:rsidR="00C314C4" w:rsidRPr="00C95856" w:rsidTr="00C314C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Солонешное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 xml:space="preserve">659690, Алтайский край, </w:t>
            </w:r>
            <w:proofErr w:type="spellStart"/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Солонешенский</w:t>
            </w:r>
            <w:proofErr w:type="spellEnd"/>
            <w:r w:rsidRPr="00C314C4">
              <w:rPr>
                <w:rFonts w:ascii="Times New Roman" w:hAnsi="Times New Roman" w:cs="Times New Roman"/>
                <w:sz w:val="24"/>
                <w:szCs w:val="24"/>
              </w:rPr>
              <w:t xml:space="preserve"> р-н, с.Солонешное, ул.Советская,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с 9.00 до 17.00 обед с 12-30 до 13-30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8-38594 22013</w:t>
            </w:r>
          </w:p>
        </w:tc>
      </w:tr>
      <w:tr w:rsidR="00C314C4" w:rsidRPr="00362084" w:rsidTr="00C314C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 Быстрый Исток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 xml:space="preserve">659560, Алтайский край, </w:t>
            </w:r>
            <w:proofErr w:type="spellStart"/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Быстроистокский</w:t>
            </w:r>
            <w:proofErr w:type="spellEnd"/>
            <w:r w:rsidRPr="00C314C4">
              <w:rPr>
                <w:rFonts w:ascii="Times New Roman" w:hAnsi="Times New Roman" w:cs="Times New Roman"/>
                <w:sz w:val="24"/>
                <w:szCs w:val="24"/>
              </w:rPr>
              <w:t xml:space="preserve"> р-н, с.Быстрый Исток, ул.Советская,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с 9.00 до 17.00 обед с 13 до 14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8-38571 22208</w:t>
            </w:r>
          </w:p>
        </w:tc>
      </w:tr>
      <w:tr w:rsidR="00C314C4" w:rsidRPr="00C95856" w:rsidTr="00C314C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C4" w:rsidRPr="00C314C4" w:rsidRDefault="00C314C4" w:rsidP="00C8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 Смоленское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659600, Алтайский край, Смоленский р-н, с.Смоленское, ул.Красноярская, 100А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с 9.00 до 17.00 обед с 12 до 13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C4" w:rsidRPr="00C314C4" w:rsidRDefault="00C314C4" w:rsidP="00C3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C4">
              <w:rPr>
                <w:rFonts w:ascii="Times New Roman" w:hAnsi="Times New Roman" w:cs="Times New Roman"/>
                <w:sz w:val="24"/>
                <w:szCs w:val="24"/>
              </w:rPr>
              <w:t>8-38536 22054</w:t>
            </w:r>
          </w:p>
        </w:tc>
      </w:tr>
    </w:tbl>
    <w:p w:rsidR="00C314C4" w:rsidRPr="00E36FC1" w:rsidRDefault="00C314C4" w:rsidP="00C314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4C4" w:rsidRPr="00632218" w:rsidRDefault="00C314C4" w:rsidP="00C314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4C4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hyperlink r:id="rId5" w:history="1">
        <w:r w:rsidRPr="00C314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314C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314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kvk</w:t>
        </w:r>
        <w:r w:rsidRPr="00C314C4">
          <w:rPr>
            <w:rStyle w:val="a3"/>
            <w:rFonts w:ascii="Times New Roman" w:hAnsi="Times New Roman" w:cs="Times New Roman"/>
            <w:sz w:val="24"/>
            <w:szCs w:val="24"/>
          </w:rPr>
          <w:t>-b</w:t>
        </w:r>
        <w:r w:rsidRPr="00C314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Pr="00C314C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314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314C4">
        <w:rPr>
          <w:rFonts w:ascii="Times New Roman" w:hAnsi="Times New Roman" w:cs="Times New Roman"/>
          <w:sz w:val="24"/>
          <w:szCs w:val="24"/>
        </w:rPr>
        <w:t xml:space="preserve"> </w:t>
      </w:r>
      <w:r w:rsidR="00632218">
        <w:rPr>
          <w:rFonts w:ascii="Times New Roman" w:hAnsi="Times New Roman" w:cs="Times New Roman"/>
          <w:sz w:val="24"/>
          <w:szCs w:val="24"/>
        </w:rPr>
        <w:t xml:space="preserve">, электронная почта </w:t>
      </w:r>
      <w:r w:rsidR="00632218">
        <w:rPr>
          <w:rFonts w:ascii="Times New Roman" w:hAnsi="Times New Roman" w:cs="Times New Roman"/>
          <w:sz w:val="24"/>
          <w:szCs w:val="24"/>
          <w:lang w:val="en-US"/>
        </w:rPr>
        <w:t>kpkg</w:t>
      </w:r>
      <w:r w:rsidR="00632218" w:rsidRPr="00632218">
        <w:rPr>
          <w:rFonts w:ascii="Times New Roman" w:hAnsi="Times New Roman" w:cs="Times New Roman"/>
          <w:sz w:val="24"/>
          <w:szCs w:val="24"/>
        </w:rPr>
        <w:t>_</w:t>
      </w:r>
      <w:r w:rsidR="00632218">
        <w:rPr>
          <w:rFonts w:ascii="Times New Roman" w:hAnsi="Times New Roman" w:cs="Times New Roman"/>
          <w:sz w:val="24"/>
          <w:szCs w:val="24"/>
          <w:lang w:val="en-US"/>
        </w:rPr>
        <w:t>kassavk</w:t>
      </w:r>
      <w:r w:rsidR="00632218" w:rsidRPr="00632218">
        <w:rPr>
          <w:rFonts w:ascii="Times New Roman" w:hAnsi="Times New Roman" w:cs="Times New Roman"/>
          <w:sz w:val="24"/>
          <w:szCs w:val="24"/>
        </w:rPr>
        <w:t>@</w:t>
      </w:r>
      <w:r w:rsidR="006322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32218" w:rsidRPr="00632218">
        <w:rPr>
          <w:rFonts w:ascii="Times New Roman" w:hAnsi="Times New Roman" w:cs="Times New Roman"/>
          <w:sz w:val="24"/>
          <w:szCs w:val="24"/>
        </w:rPr>
        <w:t>.</w:t>
      </w:r>
      <w:r w:rsidR="0063221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C314C4" w:rsidRDefault="00C314C4" w:rsidP="00C314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соблюдением КПК законодательства о кредитной кооперации осуществляет </w:t>
      </w:r>
      <w:r w:rsidRPr="00C314C4">
        <w:rPr>
          <w:rFonts w:ascii="Times New Roman" w:hAnsi="Times New Roman" w:cs="Times New Roman"/>
          <w:sz w:val="24"/>
          <w:szCs w:val="24"/>
        </w:rPr>
        <w:t>Ассоциация «</w:t>
      </w:r>
      <w:proofErr w:type="spellStart"/>
      <w:r w:rsidRPr="00C314C4">
        <w:rPr>
          <w:rFonts w:ascii="Times New Roman" w:hAnsi="Times New Roman" w:cs="Times New Roman"/>
          <w:sz w:val="24"/>
          <w:szCs w:val="24"/>
        </w:rPr>
        <w:t>Саморегулируемая</w:t>
      </w:r>
      <w:proofErr w:type="spellEnd"/>
      <w:r w:rsidRPr="00C314C4">
        <w:rPr>
          <w:rFonts w:ascii="Times New Roman" w:hAnsi="Times New Roman" w:cs="Times New Roman"/>
          <w:sz w:val="24"/>
          <w:szCs w:val="24"/>
        </w:rPr>
        <w:t xml:space="preserve"> организация кредитных потребительских кооперативов «Кооперативные финансы» г. Москва, номер </w:t>
      </w:r>
      <w:r>
        <w:rPr>
          <w:rFonts w:ascii="Times New Roman" w:hAnsi="Times New Roman" w:cs="Times New Roman"/>
          <w:sz w:val="24"/>
          <w:szCs w:val="24"/>
        </w:rPr>
        <w:t xml:space="preserve">кооператива </w:t>
      </w:r>
      <w:r w:rsidRPr="00C314C4">
        <w:rPr>
          <w:rFonts w:ascii="Times New Roman" w:hAnsi="Times New Roman" w:cs="Times New Roman"/>
          <w:sz w:val="24"/>
          <w:szCs w:val="24"/>
        </w:rPr>
        <w:t>в реестре</w:t>
      </w:r>
      <w:r>
        <w:rPr>
          <w:rFonts w:ascii="Times New Roman" w:hAnsi="Times New Roman" w:cs="Times New Roman"/>
          <w:sz w:val="24"/>
          <w:szCs w:val="24"/>
        </w:rPr>
        <w:t xml:space="preserve"> СРО</w:t>
      </w:r>
      <w:r w:rsidRPr="00C314C4">
        <w:rPr>
          <w:rFonts w:ascii="Times New Roman" w:hAnsi="Times New Roman" w:cs="Times New Roman"/>
          <w:sz w:val="24"/>
          <w:szCs w:val="24"/>
        </w:rPr>
        <w:t xml:space="preserve"> № 18 от 28.06.2010г.</w:t>
      </w:r>
    </w:p>
    <w:p w:rsidR="00C314C4" w:rsidRDefault="00C314C4" w:rsidP="00C314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314C4">
        <w:rPr>
          <w:rFonts w:ascii="Times New Roman" w:hAnsi="Times New Roman" w:cs="Times New Roman"/>
          <w:sz w:val="24"/>
          <w:szCs w:val="24"/>
        </w:rPr>
        <w:t>дрес</w:t>
      </w:r>
      <w:r>
        <w:rPr>
          <w:rFonts w:ascii="Times New Roman" w:hAnsi="Times New Roman" w:cs="Times New Roman"/>
          <w:sz w:val="24"/>
          <w:szCs w:val="24"/>
        </w:rPr>
        <w:t xml:space="preserve"> СРО</w:t>
      </w:r>
      <w:r w:rsidRPr="00C314C4">
        <w:rPr>
          <w:rFonts w:ascii="Times New Roman" w:hAnsi="Times New Roman" w:cs="Times New Roman"/>
          <w:sz w:val="24"/>
          <w:szCs w:val="24"/>
        </w:rPr>
        <w:t>: 105318, г. Москва, ул. Ибрагимова, дом 31/47, офис 409, электронн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314C4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14C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314C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info@coopfin.ru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Директор СРО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Соломкин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Алексеевич</w:t>
      </w:r>
    </w:p>
    <w:p w:rsidR="00C314C4" w:rsidRDefault="00C314C4" w:rsidP="00C314C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Надзор за КПК осуществляет Центральный Банк Российской кооперации (Банк России), за исключением отдельных случаев, предусмотренных законодательством. Телефон 8-800-300-30-00, официальный сайт : </w:t>
      </w:r>
      <w:r>
        <w:rPr>
          <w:rFonts w:ascii="Times New Roman" w:hAnsi="Times New Roman" w:cs="Times New Roman"/>
          <w:sz w:val="24"/>
          <w:szCs w:val="24"/>
          <w:lang w:val="en-US"/>
        </w:rPr>
        <w:t>www.c</w:t>
      </w:r>
      <w:r w:rsidR="00A74A84">
        <w:rPr>
          <w:rFonts w:ascii="Times New Roman" w:hAnsi="Times New Roman" w:cs="Times New Roman"/>
          <w:sz w:val="24"/>
          <w:szCs w:val="24"/>
          <w:lang w:val="en-US"/>
        </w:rPr>
        <w:t>br.ru</w:t>
      </w:r>
    </w:p>
    <w:p w:rsidR="00A74A84" w:rsidRDefault="00A74A84" w:rsidP="00C314C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4A84" w:rsidRDefault="00A74A84" w:rsidP="00A74A8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Не является рекламным материалом</w:t>
      </w:r>
    </w:p>
    <w:p w:rsidR="00A74A84" w:rsidRDefault="00A74A84" w:rsidP="00A74A8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КПК:</w:t>
      </w:r>
    </w:p>
    <w:p w:rsidR="00A74A84" w:rsidRDefault="00A74A84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 должно быть членом кооператива (пайщиком), что подразумевает дополнительную уплату</w:t>
      </w:r>
      <w:r w:rsidR="004D3307">
        <w:rPr>
          <w:rFonts w:ascii="Times New Roman" w:hAnsi="Times New Roman" w:cs="Times New Roman"/>
          <w:sz w:val="24"/>
          <w:szCs w:val="24"/>
        </w:rPr>
        <w:t xml:space="preserve"> членских</w:t>
      </w:r>
      <w:r>
        <w:rPr>
          <w:rFonts w:ascii="Times New Roman" w:hAnsi="Times New Roman" w:cs="Times New Roman"/>
          <w:sz w:val="24"/>
          <w:szCs w:val="24"/>
        </w:rPr>
        <w:t xml:space="preserve"> взносов (невозвратные), паев</w:t>
      </w:r>
      <w:r w:rsidR="004D3307">
        <w:rPr>
          <w:rFonts w:ascii="Times New Roman" w:hAnsi="Times New Roman" w:cs="Times New Roman"/>
          <w:sz w:val="24"/>
          <w:szCs w:val="24"/>
        </w:rPr>
        <w:t xml:space="preserve"> (возвратные)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74A84" w:rsidRDefault="00A74A84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515C">
        <w:rPr>
          <w:rFonts w:ascii="Times New Roman" w:hAnsi="Times New Roman" w:cs="Times New Roman"/>
          <w:sz w:val="24"/>
          <w:szCs w:val="24"/>
          <w:u w:val="single"/>
        </w:rPr>
        <w:t>Пайщик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4A84" w:rsidRDefault="00A74A84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общих собраниях, соблюдать Устав КПК и выполнять решения органов КПК.</w:t>
      </w:r>
    </w:p>
    <w:p w:rsidR="00A74A84" w:rsidRDefault="00A74A84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солидарно нести субсидиарную ответственность по обязательствам КПК в пределах невнесенной части дополнительного взноса.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74A84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515C">
        <w:rPr>
          <w:rFonts w:ascii="Times New Roman" w:hAnsi="Times New Roman" w:cs="Times New Roman"/>
          <w:sz w:val="24"/>
          <w:szCs w:val="24"/>
          <w:u w:val="single"/>
        </w:rPr>
        <w:t>Порядок выхода из членов КПК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добровольное прекращение членства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исключение из членов КПК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КПК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</w:t>
      </w:r>
      <w:r w:rsidR="004D3307">
        <w:rPr>
          <w:rFonts w:ascii="Times New Roman" w:hAnsi="Times New Roman" w:cs="Times New Roman"/>
          <w:sz w:val="24"/>
          <w:szCs w:val="24"/>
        </w:rPr>
        <w:t xml:space="preserve"> КПК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смерть пайщика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досрочного возврата личных сбережений: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расторжении договора при выходе/исключении пайщика из КПК - не позднее 3 месяцев со дня подачи заявления о выходе/решения об исключении из КПК;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расторжении договора о передаче денежных средств, с условием сохранения членства в КПК - в соответствии с условиями договора</w:t>
      </w:r>
      <w:r w:rsidR="004D3307">
        <w:rPr>
          <w:rFonts w:ascii="Times New Roman" w:hAnsi="Times New Roman" w:cs="Times New Roman"/>
          <w:sz w:val="24"/>
          <w:szCs w:val="24"/>
        </w:rPr>
        <w:t xml:space="preserve"> и Положения о привлечении личных сбережений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515C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прекращении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члена КПК - не позднее 3 месяцев со дня подачи заявления </w:t>
      </w:r>
      <w:r w:rsidR="004D3307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ликвидации/решения об исключении из КПК.</w:t>
      </w:r>
    </w:p>
    <w:p w:rsidR="001159B0" w:rsidRDefault="001159B0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159B0" w:rsidRPr="001159B0" w:rsidRDefault="001159B0" w:rsidP="001159B0">
      <w:pPr>
        <w:suppressAutoHyphens/>
        <w:jc w:val="center"/>
        <w:rPr>
          <w:rFonts w:ascii="Times New Roman" w:eastAsia="Calibri" w:hAnsi="Times New Roman" w:cs="Times New Roman"/>
          <w:bCs/>
          <w:lang w:eastAsia="ar-SA"/>
        </w:rPr>
      </w:pPr>
      <w:r w:rsidRPr="001159B0">
        <w:rPr>
          <w:rFonts w:ascii="Times New Roman" w:eastAsia="Calibri" w:hAnsi="Times New Roman" w:cs="Times New Roman"/>
          <w:bCs/>
          <w:lang w:eastAsia="ar-SA"/>
        </w:rPr>
        <w:t>Условия хранения личных сбережений в КПК «Касса взаимного кредита»</w:t>
      </w:r>
    </w:p>
    <w:p w:rsidR="001159B0" w:rsidRPr="001159B0" w:rsidRDefault="001159B0" w:rsidP="001159B0">
      <w:pPr>
        <w:suppressAutoHyphens/>
        <w:jc w:val="center"/>
        <w:rPr>
          <w:rFonts w:ascii="Times New Roman" w:eastAsia="Calibri" w:hAnsi="Times New Roman" w:cs="Times New Roman"/>
          <w:bCs/>
          <w:lang w:eastAsia="ar-SA"/>
        </w:rPr>
      </w:pPr>
    </w:p>
    <w:tbl>
      <w:tblPr>
        <w:tblW w:w="9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78"/>
        <w:gridCol w:w="1666"/>
        <w:gridCol w:w="1701"/>
        <w:gridCol w:w="1277"/>
        <w:gridCol w:w="2350"/>
      </w:tblGrid>
      <w:tr w:rsidR="001159B0" w:rsidRPr="001159B0" w:rsidTr="00C831FA">
        <w:trPr>
          <w:jc w:val="center"/>
        </w:trPr>
        <w:tc>
          <w:tcPr>
            <w:tcW w:w="2778" w:type="dxa"/>
            <w:tcBorders>
              <w:top w:val="single" w:sz="18" w:space="0" w:color="808080"/>
              <w:left w:val="single" w:sz="18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Вид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сбережений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tcBorders>
              <w:top w:val="single" w:sz="18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Сумма личных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сбережений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(руб.)</w:t>
            </w:r>
          </w:p>
        </w:tc>
        <w:tc>
          <w:tcPr>
            <w:tcW w:w="1701" w:type="dxa"/>
            <w:tcBorders>
              <w:top w:val="single" w:sz="18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Срок хранения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(мес.)</w:t>
            </w:r>
          </w:p>
        </w:tc>
        <w:tc>
          <w:tcPr>
            <w:tcW w:w="1277" w:type="dxa"/>
            <w:tcBorders>
              <w:top w:val="single" w:sz="18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1159B0">
              <w:rPr>
                <w:rFonts w:ascii="Times New Roman" w:hAnsi="Times New Roman" w:cs="Times New Roman"/>
                <w:lang w:eastAsia="zh-CN"/>
              </w:rPr>
              <w:t>Процен-ты</w:t>
            </w:r>
            <w:proofErr w:type="spellEnd"/>
            <w:r w:rsidRPr="001159B0">
              <w:rPr>
                <w:rFonts w:ascii="Times New Roman" w:hAnsi="Times New Roman" w:cs="Times New Roman"/>
                <w:lang w:eastAsia="zh-CN"/>
              </w:rPr>
              <w:t xml:space="preserve"> (годовые, %)</w:t>
            </w:r>
          </w:p>
        </w:tc>
        <w:tc>
          <w:tcPr>
            <w:tcW w:w="2350" w:type="dxa"/>
            <w:tcBorders>
              <w:top w:val="single" w:sz="18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Начисление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и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 xml:space="preserve">выплата </w:t>
            </w:r>
            <w:r w:rsidRPr="001159B0">
              <w:rPr>
                <w:rFonts w:ascii="Times New Roman" w:hAnsi="Times New Roman" w:cs="Times New Roman"/>
                <w:i/>
                <w:lang w:eastAsia="zh-CN"/>
              </w:rPr>
              <w:t>%</w:t>
            </w:r>
          </w:p>
        </w:tc>
      </w:tr>
      <w:tr w:rsidR="001159B0" w:rsidRPr="001159B0" w:rsidTr="00C831FA">
        <w:trPr>
          <w:trHeight w:val="490"/>
          <w:jc w:val="center"/>
        </w:trPr>
        <w:tc>
          <w:tcPr>
            <w:tcW w:w="2778" w:type="dxa"/>
            <w:tcBorders>
              <w:top w:val="thickThinLargeGap" w:sz="2" w:space="0" w:color="808080"/>
              <w:left w:val="single" w:sz="18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До востребования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до</w:t>
            </w:r>
            <w:r w:rsidRPr="001159B0">
              <w:rPr>
                <w:rFonts w:ascii="Times New Roman" w:hAnsi="Times New Roman" w:cs="Times New Roman"/>
                <w:lang w:eastAsia="zh-CN"/>
              </w:rPr>
              <w:t xml:space="preserve"> 2</w:t>
            </w:r>
            <w:r w:rsidRPr="001159B0">
              <w:rPr>
                <w:rFonts w:ascii="Times New Roman" w:hAnsi="Times New Roman" w:cs="Times New Roman"/>
                <w:i/>
                <w:lang w:eastAsia="zh-CN"/>
              </w:rPr>
              <w:t>00000,00</w:t>
            </w:r>
          </w:p>
        </w:tc>
        <w:tc>
          <w:tcPr>
            <w:tcW w:w="170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Не ограничен</w:t>
            </w:r>
          </w:p>
        </w:tc>
        <w:tc>
          <w:tcPr>
            <w:tcW w:w="12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23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Ежедневно</w:t>
            </w:r>
          </w:p>
        </w:tc>
      </w:tr>
      <w:tr w:rsidR="001159B0" w:rsidRPr="001159B0" w:rsidTr="00C831FA">
        <w:trPr>
          <w:trHeight w:val="567"/>
          <w:jc w:val="center"/>
        </w:trPr>
        <w:tc>
          <w:tcPr>
            <w:tcW w:w="2778" w:type="dxa"/>
            <w:vMerge w:val="restart"/>
            <w:tcBorders>
              <w:top w:val="thickThinLargeGap" w:sz="2" w:space="0" w:color="808080"/>
              <w:left w:val="single" w:sz="18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Сберегательный</w:t>
            </w:r>
          </w:p>
        </w:tc>
        <w:tc>
          <w:tcPr>
            <w:tcW w:w="1666" w:type="dxa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До 2 000 000 рублей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thickThinLargeGap" w:sz="2" w:space="0" w:color="808080"/>
              <w:left w:val="thickThinLargeGap" w:sz="2" w:space="0" w:color="808080"/>
              <w:bottom w:val="single" w:sz="2" w:space="0" w:color="auto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До 6 месяцев</w:t>
            </w:r>
          </w:p>
        </w:tc>
        <w:tc>
          <w:tcPr>
            <w:tcW w:w="1277" w:type="dxa"/>
            <w:tcBorders>
              <w:top w:val="thickThinLargeGap" w:sz="2" w:space="0" w:color="808080"/>
              <w:left w:val="thickThinLargeGap" w:sz="2" w:space="0" w:color="808080"/>
              <w:bottom w:val="single" w:sz="2" w:space="0" w:color="auto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Ежемесячно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159B0" w:rsidRPr="001159B0" w:rsidTr="00C831FA">
        <w:trPr>
          <w:trHeight w:val="482"/>
          <w:jc w:val="center"/>
        </w:trPr>
        <w:tc>
          <w:tcPr>
            <w:tcW w:w="2778" w:type="dxa"/>
            <w:vMerge/>
            <w:tcBorders>
              <w:top w:val="thickThinLargeGap" w:sz="2" w:space="0" w:color="808080"/>
              <w:left w:val="single" w:sz="18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vMerge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12 месяцев и выше</w:t>
            </w:r>
          </w:p>
        </w:tc>
        <w:tc>
          <w:tcPr>
            <w:tcW w:w="1277" w:type="dxa"/>
            <w:tcBorders>
              <w:top w:val="single" w:sz="2" w:space="0" w:color="auto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19</w:t>
            </w:r>
          </w:p>
        </w:tc>
        <w:tc>
          <w:tcPr>
            <w:tcW w:w="2350" w:type="dxa"/>
            <w:vMerge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159B0" w:rsidRPr="001159B0" w:rsidTr="00C831FA">
        <w:trPr>
          <w:trHeight w:val="417"/>
          <w:jc w:val="center"/>
        </w:trPr>
        <w:tc>
          <w:tcPr>
            <w:tcW w:w="2778" w:type="dxa"/>
            <w:vMerge w:val="restart"/>
            <w:tcBorders>
              <w:top w:val="thickThinLargeGap" w:sz="2" w:space="0" w:color="808080"/>
              <w:left w:val="single" w:sz="18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 xml:space="preserve">Накопительный </w:t>
            </w:r>
          </w:p>
        </w:tc>
        <w:tc>
          <w:tcPr>
            <w:tcW w:w="1666" w:type="dxa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До 2 000 000 рублей</w:t>
            </w:r>
          </w:p>
        </w:tc>
        <w:tc>
          <w:tcPr>
            <w:tcW w:w="1701" w:type="dxa"/>
            <w:tcBorders>
              <w:top w:val="thickThinLargeGap" w:sz="2" w:space="0" w:color="808080"/>
              <w:left w:val="thickThinLargeGap" w:sz="2" w:space="0" w:color="808080"/>
              <w:bottom w:val="single" w:sz="4" w:space="0" w:color="00000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До 6 месяцев</w:t>
            </w:r>
          </w:p>
        </w:tc>
        <w:tc>
          <w:tcPr>
            <w:tcW w:w="1277" w:type="dxa"/>
            <w:tcBorders>
              <w:top w:val="thickThinLargeGap" w:sz="2" w:space="0" w:color="808080"/>
              <w:left w:val="thickThinLargeGap" w:sz="2" w:space="0" w:color="808080"/>
              <w:bottom w:val="single" w:sz="4" w:space="0" w:color="00000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tabs>
                <w:tab w:val="left" w:pos="6810"/>
                <w:tab w:val="left" w:pos="7050"/>
              </w:tabs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 xml:space="preserve">Ежемесячно </w:t>
            </w:r>
          </w:p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159B0" w:rsidRPr="001159B0" w:rsidTr="00C831FA">
        <w:trPr>
          <w:trHeight w:val="271"/>
          <w:jc w:val="center"/>
        </w:trPr>
        <w:tc>
          <w:tcPr>
            <w:tcW w:w="2778" w:type="dxa"/>
            <w:vMerge/>
            <w:tcBorders>
              <w:top w:val="thickThinLargeGap" w:sz="2" w:space="0" w:color="808080"/>
              <w:left w:val="single" w:sz="18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vMerge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12 месяцев и выше</w:t>
            </w:r>
          </w:p>
        </w:tc>
        <w:tc>
          <w:tcPr>
            <w:tcW w:w="1277" w:type="dxa"/>
            <w:tcBorders>
              <w:top w:val="single" w:sz="2" w:space="0" w:color="auto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19</w:t>
            </w:r>
          </w:p>
        </w:tc>
        <w:tc>
          <w:tcPr>
            <w:tcW w:w="2350" w:type="dxa"/>
            <w:vMerge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159B0" w:rsidRPr="001159B0" w:rsidTr="00C831FA">
        <w:trPr>
          <w:trHeight w:val="567"/>
          <w:jc w:val="center"/>
        </w:trPr>
        <w:tc>
          <w:tcPr>
            <w:tcW w:w="2778" w:type="dxa"/>
            <w:vMerge w:val="restart"/>
            <w:tcBorders>
              <w:top w:val="thickThinLargeGap" w:sz="2" w:space="0" w:color="808080"/>
              <w:left w:val="single" w:sz="18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Накопительный пенсионный социальный</w:t>
            </w:r>
          </w:p>
        </w:tc>
        <w:tc>
          <w:tcPr>
            <w:tcW w:w="1666" w:type="dxa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До  200 000 рублей</w:t>
            </w:r>
          </w:p>
        </w:tc>
        <w:tc>
          <w:tcPr>
            <w:tcW w:w="1701" w:type="dxa"/>
            <w:tcBorders>
              <w:top w:val="thickThinLargeGap" w:sz="2" w:space="0" w:color="808080"/>
              <w:left w:val="thickThinLargeGap" w:sz="2" w:space="0" w:color="808080"/>
              <w:bottom w:val="single" w:sz="2" w:space="0" w:color="auto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1159B0">
              <w:rPr>
                <w:rFonts w:ascii="Times New Roman" w:hAnsi="Times New Roman" w:cs="Times New Roman"/>
                <w:i/>
                <w:lang w:eastAsia="zh-CN"/>
              </w:rPr>
              <w:t>До 6 месяцев</w:t>
            </w:r>
          </w:p>
        </w:tc>
        <w:tc>
          <w:tcPr>
            <w:tcW w:w="1277" w:type="dxa"/>
            <w:tcBorders>
              <w:top w:val="thickThinLargeGap" w:sz="2" w:space="0" w:color="808080"/>
              <w:left w:val="thickThinLargeGap" w:sz="2" w:space="0" w:color="808080"/>
              <w:bottom w:val="single" w:sz="2" w:space="0" w:color="auto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tabs>
                <w:tab w:val="left" w:pos="6810"/>
                <w:tab w:val="left" w:pos="7050"/>
              </w:tabs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17</w:t>
            </w:r>
          </w:p>
        </w:tc>
        <w:tc>
          <w:tcPr>
            <w:tcW w:w="2350" w:type="dxa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:rsidR="001159B0" w:rsidRPr="001159B0" w:rsidRDefault="001159B0" w:rsidP="00C831F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159B0">
              <w:rPr>
                <w:rFonts w:ascii="Times New Roman" w:hAnsi="Times New Roman" w:cs="Times New Roman"/>
                <w:lang w:eastAsia="zh-CN"/>
              </w:rPr>
              <w:t>Ежемесячно</w:t>
            </w:r>
          </w:p>
        </w:tc>
      </w:tr>
    </w:tbl>
    <w:p w:rsidR="001159B0" w:rsidRDefault="001159B0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C515C" w:rsidRPr="00A74A84" w:rsidRDefault="00CC515C" w:rsidP="00CC5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36FC1" w:rsidRPr="00B25210" w:rsidRDefault="00C314C4" w:rsidP="00B25210">
      <w:pPr>
        <w:spacing w:after="0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1159B0" w:rsidRPr="001159B0" w:rsidRDefault="001159B0" w:rsidP="001159B0">
      <w:pPr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59B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Начисление компенсации после окончания срока договора передачи личных сбережений не производится</w:t>
      </w:r>
      <w:r w:rsidRPr="001159B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1159B0" w:rsidRDefault="001159B0" w:rsidP="001159B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9B0">
        <w:rPr>
          <w:rFonts w:ascii="Times New Roman" w:eastAsia="Calibri" w:hAnsi="Times New Roman" w:cs="Times New Roman"/>
          <w:sz w:val="24"/>
          <w:szCs w:val="24"/>
        </w:rPr>
        <w:t xml:space="preserve">      Дополнительные взносы по договорам личных сбережений принимаются в рамках установленных правлением  процентных ставок на дату внесения дополнительных взносов. В случае, если по ранее заключенному договору личных сбережений процентная ставка превышает действующую, необходимо заключать новый договор по новым действующим процентным ставкам. </w:t>
      </w:r>
    </w:p>
    <w:p w:rsidR="001159B0" w:rsidRDefault="001159B0" w:rsidP="001159B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Компенсацию по договорам Сберегательным можно получать в любое время, по Накопительным в конце срока.</w:t>
      </w:r>
    </w:p>
    <w:p w:rsidR="001159B0" w:rsidRDefault="001159B0" w:rsidP="001159B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Сберегатели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оплачиваю членский взнос в размере 1% от суммы сбережений пропорционально сроку хранения личных сбережений.</w:t>
      </w:r>
    </w:p>
    <w:p w:rsidR="001159B0" w:rsidRPr="001159B0" w:rsidRDefault="001159B0" w:rsidP="001159B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159B0">
        <w:rPr>
          <w:rFonts w:ascii="Times New Roman" w:eastAsia="Calibri" w:hAnsi="Times New Roman" w:cs="Times New Roman"/>
          <w:sz w:val="24"/>
          <w:szCs w:val="24"/>
        </w:rPr>
        <w:t xml:space="preserve">При досрочном расторжении при сохранении членства в кооперативе при финансовой возможности кооператива суммы до 100 тыс. рублей возвращаются в течение 5 рабочих дней, свыше 100 тыс. руб. в течение 90 рабочих дней. В случае массового изъятия или возврата крупной суммы сбережений, чтобы не пошатнуть финансовую стабильность кооператива, в первую очередь производятся выплаты </w:t>
      </w:r>
      <w:proofErr w:type="spellStart"/>
      <w:r w:rsidRPr="001159B0">
        <w:rPr>
          <w:rFonts w:ascii="Times New Roman" w:eastAsia="Calibri" w:hAnsi="Times New Roman" w:cs="Times New Roman"/>
          <w:sz w:val="24"/>
          <w:szCs w:val="24"/>
        </w:rPr>
        <w:t>сберегателям</w:t>
      </w:r>
      <w:proofErr w:type="spellEnd"/>
      <w:r w:rsidRPr="001159B0">
        <w:rPr>
          <w:rFonts w:ascii="Times New Roman" w:eastAsia="Calibri" w:hAnsi="Times New Roman" w:cs="Times New Roman"/>
          <w:sz w:val="24"/>
          <w:szCs w:val="24"/>
        </w:rPr>
        <w:t xml:space="preserve"> по срокам окончания договоров сбережений, и только после этого по дополнительному соглашению определяется порядок и сроки досрочного возврата личных сбережений. Процентная ставка по данным соглашениям устанавливается  в размере ставки до востребования</w:t>
      </w:r>
      <w:r>
        <w:rPr>
          <w:rFonts w:ascii="Calibri" w:eastAsia="Calibri" w:hAnsi="Calibri" w:cs="Times New Roman"/>
        </w:rPr>
        <w:t>.</w:t>
      </w:r>
    </w:p>
    <w:p w:rsidR="001159B0" w:rsidRDefault="001159B0" w:rsidP="001159B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Имущественная ответственность:</w:t>
      </w:r>
    </w:p>
    <w:p w:rsidR="001159B0" w:rsidRDefault="001159B0" w:rsidP="001159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КПК отвечает по своим обязательствам всем принадлежащим ему имуществом.</w:t>
      </w:r>
    </w:p>
    <w:p w:rsidR="001159B0" w:rsidRDefault="001159B0" w:rsidP="001159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Компенсационный фонд СРО формируется </w:t>
      </w:r>
      <w:r w:rsidR="00A17956">
        <w:rPr>
          <w:rFonts w:ascii="Times New Roman" w:eastAsia="Calibri" w:hAnsi="Times New Roman" w:cs="Times New Roman"/>
          <w:sz w:val="24"/>
          <w:szCs w:val="24"/>
        </w:rPr>
        <w:t xml:space="preserve">из членских взносов всех КПК, входящих в СРО, и используется СРО для обеспечения имущественной ответственности КПК при недостаточности собственного имущества. </w:t>
      </w:r>
      <w:r w:rsidR="004172BC">
        <w:rPr>
          <w:rFonts w:ascii="Times New Roman" w:eastAsia="Calibri" w:hAnsi="Times New Roman" w:cs="Times New Roman"/>
          <w:sz w:val="24"/>
          <w:szCs w:val="24"/>
        </w:rPr>
        <w:t xml:space="preserve">(сайт СРО </w:t>
      </w:r>
      <w:r w:rsidR="004172BC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4D330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4172BC">
        <w:rPr>
          <w:rFonts w:ascii="Times New Roman" w:eastAsia="Calibri" w:hAnsi="Times New Roman" w:cs="Times New Roman"/>
          <w:sz w:val="24"/>
          <w:szCs w:val="24"/>
          <w:lang w:val="en-US"/>
        </w:rPr>
        <w:t>coopfin</w:t>
      </w:r>
      <w:proofErr w:type="spellEnd"/>
      <w:r w:rsidR="004172BC" w:rsidRPr="004172BC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4172BC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4172BC" w:rsidRPr="004172B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4172BC">
        <w:rPr>
          <w:rFonts w:ascii="Times New Roman" w:eastAsia="Calibri" w:hAnsi="Times New Roman" w:cs="Times New Roman"/>
          <w:sz w:val="24"/>
          <w:szCs w:val="24"/>
        </w:rPr>
        <w:t>вкладка Пайщикам - Компенсационные выплаты - Информация о величине компенсационного фонда).</w:t>
      </w:r>
    </w:p>
    <w:p w:rsidR="004172BC" w:rsidRDefault="004172BC" w:rsidP="001159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Важно! Предельный размер выплат из компенсационного фонда в отношении одного кооператива - не более 5% от стоимости данного фонда. (для примера, на 01.10.2025года компенсационный фонд </w:t>
      </w:r>
      <w:r w:rsidR="004D3307">
        <w:rPr>
          <w:rFonts w:ascii="Times New Roman" w:eastAsia="Calibri" w:hAnsi="Times New Roman" w:cs="Times New Roman"/>
          <w:sz w:val="24"/>
          <w:szCs w:val="24"/>
        </w:rPr>
        <w:t xml:space="preserve">СРО "Кооперативные финансы)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составил 673 099 625 руб., следовательно один кооператив может рассчитывать на сумму 33 654 981 рубль.) </w:t>
      </w:r>
    </w:p>
    <w:p w:rsidR="004172BC" w:rsidRDefault="004172BC" w:rsidP="001159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Важно!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Пайшик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самостоятельно в рамках законодательства о банкротстве взыскивает с КПК денежные средства, а также начисленные проценты.</w:t>
      </w:r>
    </w:p>
    <w:p w:rsidR="004172BC" w:rsidRPr="004172BC" w:rsidRDefault="004172BC" w:rsidP="004172BC">
      <w:pPr>
        <w:pStyle w:val="a4"/>
        <w:widowControl w:val="0"/>
        <w:numPr>
          <w:ilvl w:val="0"/>
          <w:numId w:val="2"/>
        </w:numPr>
        <w:tabs>
          <w:tab w:val="left" w:pos="63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172BC">
        <w:rPr>
          <w:rFonts w:ascii="Times New Roman" w:eastAsia="Calibri" w:hAnsi="Times New Roman" w:cs="Times New Roman"/>
          <w:sz w:val="24"/>
          <w:szCs w:val="24"/>
        </w:rPr>
        <w:t xml:space="preserve">Требования членов КПК </w:t>
      </w:r>
      <w:r w:rsidRPr="004172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Требования членов КПК по договорам передачи личных сбережений подлежат удовлетворению в первую очередь (после удовлетворения требований граждан, перед которыми КПК несет ответственность за причинение вреда жизни/здоровью) в сумме не более 700 тыс.руб. (но не более основной суммы долга в отношении каждого члена КПК).</w:t>
      </w:r>
    </w:p>
    <w:p w:rsidR="004172BC" w:rsidRPr="004172BC" w:rsidRDefault="004172BC" w:rsidP="004172BC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4172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Требования членов КПК в сумме, превышающей 700 тыс.руб., в том числе по возмещению упущенной выгоды, а также по уплате финансовых санкций, подлежат удовлетворению в третью очередь</w:t>
      </w:r>
    </w:p>
    <w:p w:rsidR="004172BC" w:rsidRPr="004172BC" w:rsidRDefault="004172BC" w:rsidP="00B25210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</w:pPr>
      <w:r w:rsidRPr="004172BC">
        <w:rPr>
          <w:rFonts w:ascii="Times New Roman" w:hAnsi="Times New Roman" w:cs="Times New Roman"/>
          <w:b/>
          <w:bCs/>
          <w:noProof/>
          <w:color w:val="141414"/>
          <w:sz w:val="24"/>
          <w:szCs w:val="24"/>
          <w:lang w:eastAsia="ru-RU"/>
        </w:rPr>
        <w:drawing>
          <wp:anchor distT="0" distB="52070" distL="63500" distR="191770" simplePos="0" relativeHeight="251659264" behindDoc="1" locked="0" layoutInCell="1" allowOverlap="1">
            <wp:simplePos x="0" y="0"/>
            <wp:positionH relativeFrom="margin">
              <wp:posOffset>54610</wp:posOffset>
            </wp:positionH>
            <wp:positionV relativeFrom="paragraph">
              <wp:posOffset>21590</wp:posOffset>
            </wp:positionV>
            <wp:extent cx="255905" cy="274320"/>
            <wp:effectExtent l="0" t="0" r="0" b="0"/>
            <wp:wrapSquare wrapText="right"/>
            <wp:docPr id="1910368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17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Денежные средства, привлеченные в КПК, </w:t>
      </w:r>
      <w:r w:rsidRPr="004172B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не застрахованы государством</w:t>
      </w:r>
      <w:r w:rsidRPr="00417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!</w:t>
      </w:r>
    </w:p>
    <w:p w:rsidR="004172BC" w:rsidRPr="004172BC" w:rsidRDefault="004172BC" w:rsidP="00B25210">
      <w:pPr>
        <w:pStyle w:val="a4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2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Пайщик и КПК вправе в добровольном порядке застраховать риски, связанные с заключением договора передачи личных сбережений. Страховые случаи определяются в договоре страхования.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218">
        <w:rPr>
          <w:rFonts w:ascii="Times New Roman" w:hAnsi="Times New Roman" w:cs="Times New Roman"/>
          <w:b/>
          <w:sz w:val="24"/>
          <w:szCs w:val="24"/>
        </w:rPr>
        <w:lastRenderedPageBreak/>
        <w:t>Пайщик вправе защищать свои права и законные интересы следующими способами: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3.1.Обращаться с целью защиты своих прав и законных интересов в кредитный потребительский кооператив, в СРО, в котором состоит кооператив, в общественные и иные организации, созданные и осуществляющие свою деятельность по защите прав и законных интересов потребителей(получателей) финансовых услуг в соответствии с законодательством Российской Федерации, в Банк России и иные государственные органы с жалобами и заявлениями;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3.2.Обжаловать действия (бездействие) кооператива в Суде;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3.3.</w:t>
      </w:r>
      <w:r w:rsidRPr="00632218">
        <w:rPr>
          <w:rFonts w:ascii="Times New Roman" w:hAnsi="Times New Roman" w:cs="Times New Roman"/>
          <w:bCs/>
          <w:sz w:val="24"/>
          <w:szCs w:val="24"/>
        </w:rPr>
        <w:t>Реализовать свои права получателя финансовых услуг в досудебном порядке разрешения споров, который в соответствии со Стандартом предусматривает: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 xml:space="preserve">1. При нарушении получателем финансовых услуг сроков возврата основной суммы долга и (или) уплаты процентов по договору займа кредитный кооператив доводит до сведения пайщика способами, предусмотренными </w:t>
      </w:r>
      <w:hyperlink r:id="rId8" w:history="1">
        <w:r w:rsidRPr="00632218">
          <w:rPr>
            <w:rFonts w:ascii="Times New Roman" w:hAnsi="Times New Roman" w:cs="Times New Roman"/>
            <w:sz w:val="24"/>
            <w:szCs w:val="24"/>
          </w:rPr>
          <w:t>статьей 7</w:t>
        </w:r>
      </w:hyperlink>
      <w:r w:rsidRPr="00632218">
        <w:rPr>
          <w:rFonts w:ascii="Times New Roman" w:hAnsi="Times New Roman" w:cs="Times New Roman"/>
          <w:sz w:val="24"/>
          <w:szCs w:val="24"/>
        </w:rPr>
        <w:t xml:space="preserve"> настоящего Стандарта, претензию для разрешения спора в досудебном порядке.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2. В претензии, направляемой кредитным кооперативом, должна быть указана следующая информация: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1) наименование кредитного кооператива и сведения, достаточные для его идентификации;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2) размер и структура текущей задолженности пайщика на дату предъявления претензии;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3) способ (способы) оплаты задолженности;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4) последствия неисполнения пайщиком своих обязательств до указанного в претензии срока;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5) способы внесудебного разрешения спора, в том числе возможность использования процедуры медиации для разрешения спора (при наличии в договоре займа медиативной оговорки).</w:t>
      </w:r>
    </w:p>
    <w:p w:rsidR="00632218" w:rsidRPr="00632218" w:rsidRDefault="00632218" w:rsidP="006322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>3. Кредитный кооператив и пайщик при взаимном соглашении сторон вправе использовать способы внесудебного разрешения спора, установленные законодательством Российской Федерации, в том числе посредством претензионного порядка, медиативных процедур и переговоров.</w:t>
      </w:r>
    </w:p>
    <w:p w:rsidR="00632218" w:rsidRPr="00626D00" w:rsidRDefault="00632218" w:rsidP="00632218">
      <w:pPr>
        <w:autoSpaceDE w:val="0"/>
        <w:autoSpaceDN w:val="0"/>
        <w:adjustRightInd w:val="0"/>
        <w:spacing w:after="0"/>
        <w:ind w:firstLine="567"/>
        <w:jc w:val="both"/>
      </w:pPr>
      <w:r w:rsidRPr="00632218">
        <w:rPr>
          <w:rFonts w:ascii="Times New Roman" w:hAnsi="Times New Roman" w:cs="Times New Roman"/>
          <w:sz w:val="24"/>
          <w:szCs w:val="24"/>
        </w:rPr>
        <w:t>3.4. Пайщик вправе защищать свои права и законные интересы иными установленными или незапрещенными законодательством способами</w:t>
      </w:r>
      <w:r w:rsidRPr="00626D00">
        <w:t>.</w:t>
      </w:r>
    </w:p>
    <w:p w:rsidR="00632218" w:rsidRDefault="00632218" w:rsidP="00632218">
      <w:pPr>
        <w:widowControl w:val="0"/>
        <w:spacing w:line="216" w:lineRule="exact"/>
        <w:ind w:left="8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32218" w:rsidRDefault="00632218" w:rsidP="00B25210">
      <w:pPr>
        <w:widowControl w:val="0"/>
        <w:spacing w:line="216" w:lineRule="exact"/>
        <w:ind w:left="8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252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Куда жаловаться?</w:t>
      </w:r>
      <w:r w:rsidRPr="007A7987">
        <w:t xml:space="preserve"> </w:t>
      </w:r>
    </w:p>
    <w:p w:rsidR="00632218" w:rsidRDefault="00632218" w:rsidP="00B25210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5210" w:rsidRPr="00632218">
        <w:rPr>
          <w:rFonts w:ascii="Times New Roman" w:hAnsi="Times New Roman" w:cs="Times New Roman"/>
          <w:sz w:val="24"/>
          <w:szCs w:val="24"/>
        </w:rPr>
        <w:t xml:space="preserve"> </w:t>
      </w:r>
      <w:r w:rsidRPr="00632218">
        <w:rPr>
          <w:rFonts w:ascii="Times New Roman" w:hAnsi="Times New Roman" w:cs="Times New Roman"/>
          <w:b/>
          <w:sz w:val="24"/>
          <w:szCs w:val="24"/>
        </w:rPr>
        <w:t>Обращ</w:t>
      </w:r>
      <w:r>
        <w:rPr>
          <w:rFonts w:ascii="Times New Roman" w:hAnsi="Times New Roman" w:cs="Times New Roman"/>
          <w:b/>
          <w:sz w:val="24"/>
          <w:szCs w:val="24"/>
        </w:rPr>
        <w:t>ение в кооператив</w:t>
      </w:r>
    </w:p>
    <w:p w:rsidR="00B25210" w:rsidRPr="00632218" w:rsidRDefault="00632218" w:rsidP="00B25210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25210" w:rsidRPr="00632218">
        <w:rPr>
          <w:rFonts w:ascii="Times New Roman" w:hAnsi="Times New Roman" w:cs="Times New Roman"/>
          <w:sz w:val="24"/>
          <w:szCs w:val="24"/>
        </w:rPr>
        <w:t xml:space="preserve">Путем предоставления документов в офис кооператива в рабочие дни с понедельника по пятницу по следующим адресам, указанным выше: </w:t>
      </w:r>
    </w:p>
    <w:p w:rsidR="00B25210" w:rsidRPr="00632218" w:rsidRDefault="00B25210" w:rsidP="00B25210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 xml:space="preserve">2) По почте по адресу: 659900, Алтайский край, </w:t>
      </w:r>
      <w:proofErr w:type="spellStart"/>
      <w:r w:rsidRPr="00632218">
        <w:rPr>
          <w:rFonts w:ascii="Times New Roman" w:hAnsi="Times New Roman" w:cs="Times New Roman"/>
          <w:sz w:val="24"/>
          <w:szCs w:val="24"/>
        </w:rPr>
        <w:t>гБелокуриха</w:t>
      </w:r>
      <w:proofErr w:type="spellEnd"/>
      <w:r w:rsidRPr="00632218">
        <w:rPr>
          <w:rFonts w:ascii="Times New Roman" w:hAnsi="Times New Roman" w:cs="Times New Roman"/>
          <w:sz w:val="24"/>
          <w:szCs w:val="24"/>
        </w:rPr>
        <w:t>, ул.Партизанская, 11 (почтовый адрес кооператива)</w:t>
      </w:r>
    </w:p>
    <w:p w:rsidR="00B25210" w:rsidRPr="00632218" w:rsidRDefault="00B25210" w:rsidP="00B25210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 xml:space="preserve">3) По электронной почте: </w:t>
      </w:r>
      <w:proofErr w:type="spellStart"/>
      <w:r w:rsidRPr="00632218">
        <w:rPr>
          <w:rFonts w:ascii="Times New Roman" w:hAnsi="Times New Roman" w:cs="Times New Roman"/>
          <w:sz w:val="24"/>
          <w:szCs w:val="24"/>
          <w:lang w:val="en-US"/>
        </w:rPr>
        <w:t>kpkg</w:t>
      </w:r>
      <w:proofErr w:type="spellEnd"/>
      <w:r w:rsidRPr="0063221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632218">
        <w:rPr>
          <w:rFonts w:ascii="Times New Roman" w:hAnsi="Times New Roman" w:cs="Times New Roman"/>
          <w:sz w:val="24"/>
          <w:szCs w:val="24"/>
          <w:lang w:val="en-US"/>
        </w:rPr>
        <w:t>kassavk</w:t>
      </w:r>
      <w:proofErr w:type="spellEnd"/>
      <w:r w:rsidRPr="00632218">
        <w:rPr>
          <w:rFonts w:ascii="Times New Roman" w:hAnsi="Times New Roman" w:cs="Times New Roman"/>
          <w:sz w:val="24"/>
          <w:szCs w:val="24"/>
        </w:rPr>
        <w:t>@</w:t>
      </w:r>
      <w:r w:rsidRPr="006322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3221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3221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32218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простой, квалифицированной или усиленной квалифицированной электронно-цифровой подписью);</w:t>
      </w:r>
    </w:p>
    <w:p w:rsidR="00B25210" w:rsidRPr="00632218" w:rsidRDefault="00B25210" w:rsidP="00B25210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sz w:val="24"/>
          <w:szCs w:val="24"/>
        </w:rPr>
        <w:t xml:space="preserve"> 4) по факсу: 8(38577) 32946 в рабочие дни с понедельника по пятницу с 08.30 до 17.30 местного времени; </w:t>
      </w:r>
    </w:p>
    <w:p w:rsidR="00B25210" w:rsidRPr="00632218" w:rsidRDefault="00B25210" w:rsidP="00B25210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2218">
        <w:rPr>
          <w:rFonts w:ascii="Times New Roman" w:hAnsi="Times New Roman" w:cs="Times New Roman"/>
          <w:b/>
          <w:sz w:val="24"/>
          <w:szCs w:val="24"/>
        </w:rPr>
        <w:t>2.Обращени</w:t>
      </w:r>
      <w:r w:rsidR="00632218">
        <w:rPr>
          <w:rFonts w:ascii="Times New Roman" w:hAnsi="Times New Roman" w:cs="Times New Roman"/>
          <w:b/>
          <w:sz w:val="24"/>
          <w:szCs w:val="24"/>
        </w:rPr>
        <w:t>е</w:t>
      </w:r>
      <w:r w:rsidRPr="00632218">
        <w:rPr>
          <w:rFonts w:ascii="Times New Roman" w:hAnsi="Times New Roman" w:cs="Times New Roman"/>
          <w:b/>
          <w:sz w:val="24"/>
          <w:szCs w:val="24"/>
        </w:rPr>
        <w:t xml:space="preserve"> получателей финансовых услуг в СРО</w:t>
      </w:r>
      <w:r w:rsidRPr="00632218">
        <w:rPr>
          <w:rFonts w:ascii="Times New Roman" w:hAnsi="Times New Roman" w:cs="Times New Roman"/>
          <w:sz w:val="24"/>
          <w:szCs w:val="24"/>
        </w:rPr>
        <w:t xml:space="preserve"> Ассоциация «</w:t>
      </w:r>
      <w:proofErr w:type="spellStart"/>
      <w:r w:rsidRPr="00632218">
        <w:rPr>
          <w:rFonts w:ascii="Times New Roman" w:hAnsi="Times New Roman" w:cs="Times New Roman"/>
          <w:sz w:val="24"/>
          <w:szCs w:val="24"/>
        </w:rPr>
        <w:t>Саморегулируемая</w:t>
      </w:r>
      <w:proofErr w:type="spellEnd"/>
      <w:r w:rsidRPr="00632218">
        <w:rPr>
          <w:rFonts w:ascii="Times New Roman" w:hAnsi="Times New Roman" w:cs="Times New Roman"/>
          <w:sz w:val="24"/>
          <w:szCs w:val="24"/>
        </w:rPr>
        <w:t xml:space="preserve"> организация кредитных потребительских кооперативов «Кооперативные финансы», в которой состоит кооператив, предоставляются по почте заказным отправлением с уведомлением о вручении или простым почтовым отправлением по адресу: 105318, г. Москва, ул. Ибрагимова, дом 31, офис 522, или по электронной почте: </w:t>
      </w:r>
      <w:hyperlink r:id="rId9" w:history="1">
        <w:r w:rsidRPr="0063221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info@coopfin.ru</w:t>
        </w:r>
      </w:hyperlink>
      <w:r w:rsidRPr="00632218">
        <w:rPr>
          <w:rFonts w:ascii="Times New Roman" w:hAnsi="Times New Roman" w:cs="Times New Roman"/>
          <w:sz w:val="24"/>
          <w:szCs w:val="24"/>
        </w:rPr>
        <w:t xml:space="preserve"> (документы в электронном виде подписываются простой, квалифицированной или усиленной квалифицированной электронно-цифровой подписью) </w:t>
      </w:r>
    </w:p>
    <w:p w:rsidR="00B25210" w:rsidRPr="00632218" w:rsidRDefault="00B25210" w:rsidP="00B25210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2218" w:rsidRDefault="00632218" w:rsidP="00632218">
      <w:pPr>
        <w:spacing w:after="0" w:line="0" w:lineRule="atLeast"/>
        <w:ind w:firstLine="567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25210" w:rsidRPr="00632218" w:rsidRDefault="00B25210" w:rsidP="00632218">
      <w:pPr>
        <w:spacing w:after="0" w:line="0" w:lineRule="atLeast"/>
        <w:ind w:firstLine="567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2218">
        <w:rPr>
          <w:rFonts w:ascii="Times New Roman" w:hAnsi="Times New Roman" w:cs="Times New Roman"/>
          <w:b/>
          <w:sz w:val="24"/>
          <w:szCs w:val="24"/>
        </w:rPr>
        <w:lastRenderedPageBreak/>
        <w:t>3.Обращени</w:t>
      </w:r>
      <w:r w:rsidR="00632218">
        <w:rPr>
          <w:rFonts w:ascii="Times New Roman" w:hAnsi="Times New Roman" w:cs="Times New Roman"/>
          <w:b/>
          <w:sz w:val="24"/>
          <w:szCs w:val="24"/>
        </w:rPr>
        <w:t>е</w:t>
      </w:r>
      <w:r w:rsidRPr="00632218">
        <w:rPr>
          <w:rFonts w:ascii="Times New Roman" w:hAnsi="Times New Roman" w:cs="Times New Roman"/>
          <w:b/>
          <w:sz w:val="24"/>
          <w:szCs w:val="24"/>
        </w:rPr>
        <w:t xml:space="preserve"> получателей финансовых услуг в Банк России предоставляются:</w:t>
      </w:r>
    </w:p>
    <w:p w:rsidR="00B25210" w:rsidRPr="00632218" w:rsidRDefault="00B25210" w:rsidP="00632218">
      <w:pPr>
        <w:spacing w:after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color w:val="000000"/>
          <w:sz w:val="24"/>
          <w:szCs w:val="24"/>
        </w:rPr>
        <w:t>1. в Контактный центр Банка России</w:t>
      </w:r>
    </w:p>
    <w:p w:rsidR="00B25210" w:rsidRPr="00632218" w:rsidRDefault="00BC1BDC" w:rsidP="0063221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25210" w:rsidRPr="00632218">
          <w:rPr>
            <w:rFonts w:ascii="Times New Roman" w:hAnsi="Times New Roman" w:cs="Times New Roman"/>
            <w:sz w:val="24"/>
            <w:szCs w:val="24"/>
            <w:u w:val="single"/>
          </w:rPr>
          <w:t>8 800 250-40-72</w:t>
        </w:r>
      </w:hyperlink>
      <w:r w:rsidR="00B25210" w:rsidRPr="00632218">
        <w:rPr>
          <w:rFonts w:ascii="Times New Roman" w:hAnsi="Times New Roman" w:cs="Times New Roman"/>
          <w:sz w:val="24"/>
          <w:szCs w:val="24"/>
        </w:rPr>
        <w:t xml:space="preserve"> (для бесплатных звонков из регионов России)</w:t>
      </w:r>
    </w:p>
    <w:p w:rsidR="00B25210" w:rsidRPr="00632218" w:rsidRDefault="00BC1BDC" w:rsidP="0063221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25210" w:rsidRPr="00632218">
          <w:rPr>
            <w:rFonts w:ascii="Times New Roman" w:hAnsi="Times New Roman" w:cs="Times New Roman"/>
            <w:sz w:val="24"/>
            <w:szCs w:val="24"/>
            <w:u w:val="single"/>
          </w:rPr>
          <w:t>+7 495 771-91-00</w:t>
        </w:r>
      </w:hyperlink>
      <w:r w:rsidR="00B25210" w:rsidRPr="00632218">
        <w:rPr>
          <w:rFonts w:ascii="Times New Roman" w:hAnsi="Times New Roman" w:cs="Times New Roman"/>
          <w:sz w:val="24"/>
          <w:szCs w:val="24"/>
        </w:rPr>
        <w:t xml:space="preserve"> (звонок по тарифам Вашего оператора связи)</w:t>
      </w:r>
    </w:p>
    <w:p w:rsidR="00B25210" w:rsidRPr="00632218" w:rsidRDefault="00B25210" w:rsidP="00632218">
      <w:pPr>
        <w:spacing w:after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color w:val="000000"/>
          <w:sz w:val="24"/>
          <w:szCs w:val="24"/>
        </w:rPr>
        <w:t>2. в Общественную приемная Банка России</w:t>
      </w:r>
    </w:p>
    <w:p w:rsidR="00B25210" w:rsidRPr="00632218" w:rsidRDefault="00B25210" w:rsidP="006322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Адрес: г. Москва, </w:t>
      </w:r>
      <w:proofErr w:type="spellStart"/>
      <w:r w:rsidRPr="00632218">
        <w:rPr>
          <w:rFonts w:ascii="Times New Roman" w:hAnsi="Times New Roman" w:cs="Times New Roman"/>
          <w:bCs/>
          <w:color w:val="000000"/>
          <w:sz w:val="24"/>
          <w:szCs w:val="24"/>
        </w:rPr>
        <w:t>Сандуновский</w:t>
      </w:r>
      <w:proofErr w:type="spellEnd"/>
      <w:r w:rsidRPr="00632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пер., д. 3, стр. 1.</w:t>
      </w:r>
    </w:p>
    <w:p w:rsidR="00B25210" w:rsidRPr="00632218" w:rsidRDefault="00B25210" w:rsidP="00632218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color w:val="000000"/>
          <w:sz w:val="24"/>
          <w:szCs w:val="24"/>
        </w:rPr>
        <w:t xml:space="preserve">Время работы: </w:t>
      </w:r>
    </w:p>
    <w:p w:rsidR="00B25210" w:rsidRPr="00632218" w:rsidRDefault="00B25210" w:rsidP="006322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color w:val="000000"/>
          <w:sz w:val="24"/>
          <w:szCs w:val="24"/>
        </w:rPr>
        <w:t xml:space="preserve">понедельник – четверг с 10:00 до 16:00 </w:t>
      </w:r>
      <w:r w:rsidRPr="00632218">
        <w:rPr>
          <w:rFonts w:ascii="Times New Roman" w:hAnsi="Times New Roman" w:cs="Times New Roman"/>
          <w:iCs/>
          <w:color w:val="000000"/>
          <w:sz w:val="24"/>
          <w:szCs w:val="24"/>
        </w:rPr>
        <w:t>(перерыв с 12:30 до 13:30)</w:t>
      </w:r>
    </w:p>
    <w:p w:rsidR="00B25210" w:rsidRPr="00632218" w:rsidRDefault="00B25210" w:rsidP="00632218">
      <w:pPr>
        <w:spacing w:after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color w:val="000000"/>
          <w:sz w:val="24"/>
          <w:szCs w:val="24"/>
        </w:rPr>
        <w:t>3. Другие способы обращения в Банк России</w:t>
      </w:r>
    </w:p>
    <w:p w:rsidR="00B25210" w:rsidRPr="00632218" w:rsidRDefault="00B25210" w:rsidP="006322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письменные обращения в Банк России можно на почтовый адрес: </w:t>
      </w:r>
    </w:p>
    <w:p w:rsidR="00B25210" w:rsidRPr="00632218" w:rsidRDefault="00B25210" w:rsidP="006322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107016, Москва, ул. </w:t>
      </w:r>
      <w:proofErr w:type="spellStart"/>
      <w:r w:rsidRPr="00632218">
        <w:rPr>
          <w:rFonts w:ascii="Times New Roman" w:hAnsi="Times New Roman" w:cs="Times New Roman"/>
          <w:bCs/>
          <w:color w:val="000000"/>
          <w:sz w:val="24"/>
          <w:szCs w:val="24"/>
        </w:rPr>
        <w:t>Неглинная</w:t>
      </w:r>
      <w:proofErr w:type="spellEnd"/>
      <w:r w:rsidRPr="00632218">
        <w:rPr>
          <w:rFonts w:ascii="Times New Roman" w:hAnsi="Times New Roman" w:cs="Times New Roman"/>
          <w:bCs/>
          <w:color w:val="000000"/>
          <w:sz w:val="24"/>
          <w:szCs w:val="24"/>
        </w:rPr>
        <w:t>, д. 12, Банк России</w:t>
      </w:r>
      <w:r w:rsidRPr="006322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25210" w:rsidRPr="00632218" w:rsidRDefault="00B25210" w:rsidP="006322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color w:val="000000"/>
          <w:sz w:val="24"/>
          <w:szCs w:val="24"/>
        </w:rPr>
        <w:t xml:space="preserve">по факсу: </w:t>
      </w:r>
      <w:r w:rsidRPr="00632218">
        <w:rPr>
          <w:rFonts w:ascii="Times New Roman" w:hAnsi="Times New Roman" w:cs="Times New Roman"/>
          <w:bCs/>
          <w:color w:val="000000"/>
          <w:sz w:val="24"/>
          <w:szCs w:val="24"/>
        </w:rPr>
        <w:t>+7 495 621-64-65</w:t>
      </w:r>
      <w:r w:rsidRPr="006322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32218">
        <w:rPr>
          <w:rFonts w:ascii="Times New Roman" w:hAnsi="Times New Roman" w:cs="Times New Roman"/>
          <w:bCs/>
          <w:color w:val="000000"/>
          <w:sz w:val="24"/>
          <w:szCs w:val="24"/>
        </w:rPr>
        <w:t>+7 495 621-62-88</w:t>
      </w:r>
    </w:p>
    <w:p w:rsidR="00B25210" w:rsidRPr="00632218" w:rsidRDefault="00B25210" w:rsidP="006322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проверка прохождения факса +7 495 771-48-30</w:t>
      </w:r>
      <w:r w:rsidRPr="006322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25210" w:rsidRDefault="00B25210" w:rsidP="00632218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32218">
        <w:rPr>
          <w:rFonts w:ascii="Times New Roman" w:hAnsi="Times New Roman" w:cs="Times New Roman"/>
          <w:color w:val="000000"/>
          <w:sz w:val="24"/>
          <w:szCs w:val="24"/>
        </w:rPr>
        <w:t xml:space="preserve">на почтовый адрес или факс </w:t>
      </w:r>
      <w:hyperlink r:id="rId12" w:tgtFrame="_blank" w:history="1">
        <w:r w:rsidRPr="00632218">
          <w:rPr>
            <w:rFonts w:ascii="Times New Roman" w:hAnsi="Times New Roman" w:cs="Times New Roman"/>
            <w:sz w:val="24"/>
            <w:szCs w:val="24"/>
          </w:rPr>
          <w:t>территориального учреждения Банка России</w:t>
        </w:r>
      </w:hyperlink>
      <w:r w:rsidRPr="00632218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632218">
        <w:rPr>
          <w:rFonts w:ascii="Times New Roman" w:hAnsi="Times New Roman" w:cs="Times New Roman"/>
          <w:color w:val="000000"/>
          <w:sz w:val="24"/>
          <w:szCs w:val="24"/>
        </w:rPr>
        <w:t>656056, Алтайский край, г. Барнаул, ул. Горького, 30, тел. 8-3852-38-86-09</w:t>
      </w:r>
    </w:p>
    <w:p w:rsidR="00632218" w:rsidRDefault="00632218" w:rsidP="0063221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3221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218">
        <w:rPr>
          <w:rFonts w:ascii="Times New Roman" w:hAnsi="Times New Roman" w:cs="Times New Roman"/>
          <w:b/>
          <w:sz w:val="24"/>
          <w:szCs w:val="24"/>
        </w:rPr>
        <w:t>Обращения получателей финансовых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финуполномоченному</w:t>
      </w:r>
      <w:proofErr w:type="spellEnd"/>
    </w:p>
    <w:p w:rsidR="00632218" w:rsidRPr="00632218" w:rsidRDefault="00632218" w:rsidP="00632218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32218"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>Официальный сайт финансового уполномоченного: </w:t>
      </w:r>
      <w:hyperlink r:id="rId13" w:history="1">
        <w:r w:rsidRPr="00632218">
          <w:rPr>
            <w:rStyle w:val="a3"/>
            <w:rFonts w:ascii="Times New Roman" w:hAnsi="Times New Roman" w:cs="Times New Roman"/>
            <w:i/>
            <w:iCs/>
            <w:color w:val="060607"/>
            <w:sz w:val="24"/>
            <w:szCs w:val="24"/>
            <w:shd w:val="clear" w:color="auto" w:fill="FFFFFF"/>
          </w:rPr>
          <w:t>www.finombudsman.ru</w:t>
        </w:r>
      </w:hyperlink>
      <w:r w:rsidRPr="00632218">
        <w:rPr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br/>
      </w:r>
      <w:r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         </w:t>
      </w:r>
      <w:r w:rsidRPr="00632218"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>Номер телефона службы обеспечения деятельности финансового уполномоченного: 8 (800) 200-00-1- (бесплатный звонок по России).</w:t>
      </w:r>
      <w:r w:rsidRPr="00632218">
        <w:rPr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br/>
      </w:r>
      <w:r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         </w:t>
      </w:r>
      <w:r w:rsidRPr="00632218"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Место нахождения службы обеспечения деятельности финансового уполномоченного: 119017, г. Москва, </w:t>
      </w:r>
      <w:proofErr w:type="spellStart"/>
      <w:r w:rsidRPr="00632218"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>Старомонетный</w:t>
      </w:r>
      <w:proofErr w:type="spellEnd"/>
      <w:r w:rsidRPr="00632218"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переулок, дом 3.</w:t>
      </w:r>
      <w:r w:rsidRPr="00632218">
        <w:rPr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br/>
      </w:r>
      <w:r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         </w:t>
      </w:r>
      <w:r w:rsidRPr="00632218"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Почтовый адрес службы обеспечения деятельности финансового уполномоченного: 119017, г. Москва, </w:t>
      </w:r>
      <w:proofErr w:type="spellStart"/>
      <w:r w:rsidRPr="00632218"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>Старомонетный</w:t>
      </w:r>
      <w:proofErr w:type="spellEnd"/>
      <w:r w:rsidRPr="00632218">
        <w:rPr>
          <w:rStyle w:val="a8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переулок, дом 3, получатель АНО «СОДФУ».</w:t>
      </w:r>
    </w:p>
    <w:p w:rsidR="00B25210" w:rsidRPr="004D3307" w:rsidRDefault="004D3307" w:rsidP="004D3307">
      <w:pPr>
        <w:widowControl w:val="0"/>
        <w:spacing w:after="0"/>
        <w:ind w:left="840"/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</w:pPr>
      <w:r w:rsidRPr="004D3307"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  <w:t xml:space="preserve">4. При </w:t>
      </w:r>
      <w:proofErr w:type="spellStart"/>
      <w:r w:rsidRPr="004D3307"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  <w:t>неурегулировании</w:t>
      </w:r>
      <w:proofErr w:type="spellEnd"/>
      <w:r w:rsidRPr="004D3307"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  <w:t xml:space="preserve"> вопроса в претензионном порядке пайщик имеет право обратиться в суд.</w:t>
      </w:r>
    </w:p>
    <w:p w:rsidR="00E36FC1" w:rsidRPr="004D3307" w:rsidRDefault="00E36FC1" w:rsidP="00B252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6FC1" w:rsidRPr="004D3307" w:rsidSect="00C314C4">
      <w:pgSz w:w="11906" w:h="16838"/>
      <w:pgMar w:top="624" w:right="720" w:bottom="62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E525B2"/>
    <w:multiLevelType w:val="multilevel"/>
    <w:tmpl w:val="AD6CA8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374F67"/>
    <w:multiLevelType w:val="multilevel"/>
    <w:tmpl w:val="BF0001B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50604534"/>
    <w:multiLevelType w:val="hybridMultilevel"/>
    <w:tmpl w:val="9A30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F07BE"/>
    <w:multiLevelType w:val="hybridMultilevel"/>
    <w:tmpl w:val="3F56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36FC1"/>
    <w:rsid w:val="001159B0"/>
    <w:rsid w:val="004172BC"/>
    <w:rsid w:val="004D3307"/>
    <w:rsid w:val="00632218"/>
    <w:rsid w:val="007F17F5"/>
    <w:rsid w:val="00A17956"/>
    <w:rsid w:val="00A74A84"/>
    <w:rsid w:val="00AC528B"/>
    <w:rsid w:val="00B25210"/>
    <w:rsid w:val="00BC1BDC"/>
    <w:rsid w:val="00C314C4"/>
    <w:rsid w:val="00C84A69"/>
    <w:rsid w:val="00CC515C"/>
    <w:rsid w:val="00E3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69"/>
  </w:style>
  <w:style w:type="paragraph" w:styleId="1">
    <w:name w:val="heading 1"/>
    <w:basedOn w:val="a"/>
    <w:next w:val="a"/>
    <w:link w:val="10"/>
    <w:uiPriority w:val="99"/>
    <w:qFormat/>
    <w:rsid w:val="004172BC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4172BC"/>
    <w:pPr>
      <w:keepNext/>
      <w:numPr>
        <w:ilvl w:val="1"/>
        <w:numId w:val="3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4172BC"/>
    <w:pPr>
      <w:keepNext/>
      <w:numPr>
        <w:ilvl w:val="2"/>
        <w:numId w:val="3"/>
      </w:numPr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4172BC"/>
    <w:pPr>
      <w:keepNext/>
      <w:numPr>
        <w:ilvl w:val="3"/>
        <w:numId w:val="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4172BC"/>
    <w:pPr>
      <w:keepNext/>
      <w:numPr>
        <w:ilvl w:val="4"/>
        <w:numId w:val="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4172BC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4172BC"/>
    <w:pPr>
      <w:keepNext/>
      <w:numPr>
        <w:ilvl w:val="6"/>
        <w:numId w:val="3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4172BC"/>
    <w:pPr>
      <w:keepNext/>
      <w:numPr>
        <w:ilvl w:val="7"/>
        <w:numId w:val="3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4172BC"/>
    <w:pPr>
      <w:keepNext/>
      <w:numPr>
        <w:ilvl w:val="8"/>
        <w:numId w:val="3"/>
      </w:numPr>
      <w:spacing w:after="0" w:line="240" w:lineRule="auto"/>
      <w:ind w:left="283" w:hanging="283"/>
      <w:jc w:val="right"/>
      <w:outlineLvl w:val="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14C4"/>
    <w:rPr>
      <w:color w:val="0563C1"/>
      <w:u w:val="single"/>
    </w:rPr>
  </w:style>
  <w:style w:type="paragraph" w:styleId="a4">
    <w:name w:val="List Paragraph"/>
    <w:basedOn w:val="a"/>
    <w:uiPriority w:val="99"/>
    <w:qFormat/>
    <w:rsid w:val="004172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172B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172B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4172B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4172B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4172BC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4172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4172B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4172B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4172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aliases w:val="hd, Знак9,Знак9,Знак10,Знак10 Знак,h,Project Name,Header@,Header10 UL,Guideline, Знак1,Верхний колонтитул Знак Знак1,Верхний колонтитул Знак Знак Знак, Знак5 Знак Знак Знак,Верхний колонтитул Знак1 Знак,Верхний колонтитул Знак Знак"/>
    <w:basedOn w:val="a"/>
    <w:link w:val="a6"/>
    <w:uiPriority w:val="99"/>
    <w:qFormat/>
    <w:rsid w:val="004172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aliases w:val="hd Знак, Знак9 Знак,Знак9 Знак,Знак10 Знак1,Знак10 Знак Знак,h Знак,Project Name Знак,Header@ Знак,Header10 UL Знак,Guideline Знак, Знак1 Знак,Верхний колонтитул Знак Знак1 Знак,Верхний колонтитул Знак Знак Знак Знак"/>
    <w:basedOn w:val="a0"/>
    <w:link w:val="a5"/>
    <w:uiPriority w:val="99"/>
    <w:rsid w:val="004172BC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B2521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6322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C717F433F622CE9ACA09920F2E076E63A0D6FCADE0E94B98D60B2601B680B891BD186C3A2129DCcAoCI" TargetMode="External"/><Relationship Id="rId13" Type="http://schemas.openxmlformats.org/officeDocument/2006/relationships/hyperlink" Target="https://www.finombudsm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br.ru/today/?PrtId=tu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opfin.ru?subject=%D0%9F%D0%B8%D1%81%D1%8C%D0%BC%D0%BE%20%D1%81%20%D1%81%D0%B0%D0%B9%D1%82%D0%B0" TargetMode="External"/><Relationship Id="rId11" Type="http://schemas.openxmlformats.org/officeDocument/2006/relationships/hyperlink" Target="tel:+74957719100" TargetMode="External"/><Relationship Id="rId5" Type="http://schemas.openxmlformats.org/officeDocument/2006/relationships/hyperlink" Target="http://www.kvk-be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88002504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opfin.ru?subject=%D0%9F%D0%B8%D1%81%D1%8C%D0%BC%D0%BE%20%D1%81%20%D1%81%D0%B0%D0%B9%D1%82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2025-11-07T05:34:00Z</dcterms:created>
  <dcterms:modified xsi:type="dcterms:W3CDTF">2025-11-08T07:53:00Z</dcterms:modified>
</cp:coreProperties>
</file>