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7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Привлечение денежных средств </w:t>
      </w:r>
    </w:p>
    <w:p w14:paraId="05568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кредитным потребительским кооперативом "Касса взаимного кредита"</w:t>
      </w:r>
    </w:p>
    <w:p w14:paraId="12286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(ИНН 2203020655, ОГРН 1062203020978)</w:t>
      </w:r>
    </w:p>
    <w:p w14:paraId="2211C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F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247DB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2"/>
        <w:tblW w:w="100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86"/>
        <w:gridCol w:w="3390"/>
        <w:gridCol w:w="2037"/>
        <w:gridCol w:w="1984"/>
      </w:tblGrid>
      <w:tr w14:paraId="1D65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D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B8D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 подразделения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D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36B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14:paraId="0CC9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40E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офис кооператива 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B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659900, Алтайский край, г. Белокуриха, ул.Партизанская, 11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A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17.30 без перерыва на обед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8-38577 32946,</w:t>
            </w:r>
          </w:p>
          <w:p w14:paraId="150DB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8-38577 22502</w:t>
            </w:r>
          </w:p>
          <w:p w14:paraId="7646F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8 903 912 22 18</w:t>
            </w:r>
          </w:p>
        </w:tc>
      </w:tr>
      <w:tr w14:paraId="5ABD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D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E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с.Советское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659540, Алтайский край, Советский р-н, с.Советское, ул.Октябрьская, 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C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A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8 38598 21722</w:t>
            </w:r>
          </w:p>
        </w:tc>
      </w:tr>
      <w:tr w14:paraId="2DB3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8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6DB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Солонешное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D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659690, Алтайский край, Солонешенский р-н, с.Солонешное, ул.Советская,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A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обеда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8-38594 22013</w:t>
            </w:r>
          </w:p>
        </w:tc>
      </w:tr>
      <w:tr w14:paraId="0B50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96D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Быстрый Исток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8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659560, Алтайский край, Быстроистокский р-н, с.Быстрый Исток, ул.Советская, 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E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8-38571 22208</w:t>
            </w:r>
          </w:p>
        </w:tc>
      </w:tr>
      <w:tr w14:paraId="5D19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8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A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Смоленское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C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659600, Алтайский край, Смоленский р-н, с.Смоленское, ул.Красноярская, 100А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E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 обед с 12 до 13 ч.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A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8-38536 22054</w:t>
            </w:r>
          </w:p>
        </w:tc>
      </w:tr>
    </w:tbl>
    <w:p w14:paraId="5B4C4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4DE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>
        <w:fldChar w:fldCharType="begin"/>
      </w:r>
      <w:r>
        <w:instrText xml:space="preserve"> HYPERLINK "http://www.kvk-bel.ru"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14"/>
          <w:rFonts w:ascii="Times New Roman" w:hAnsi="Times New Roman" w:cs="Times New Roman"/>
          <w:sz w:val="24"/>
          <w:szCs w:val="24"/>
        </w:rPr>
        <w:t>.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kvk</w:t>
      </w:r>
      <w:r>
        <w:rPr>
          <w:rStyle w:val="14"/>
          <w:rFonts w:ascii="Times New Roman" w:hAnsi="Times New Roman" w:cs="Times New Roman"/>
          <w:sz w:val="24"/>
          <w:szCs w:val="24"/>
        </w:rPr>
        <w:t>-b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el</w:t>
      </w:r>
      <w:r>
        <w:rPr>
          <w:rStyle w:val="14"/>
          <w:rFonts w:ascii="Times New Roman" w:hAnsi="Times New Roman" w:cs="Times New Roman"/>
          <w:sz w:val="24"/>
          <w:szCs w:val="24"/>
        </w:rPr>
        <w:t>.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, электронная почта </w:t>
      </w:r>
      <w:r>
        <w:rPr>
          <w:rFonts w:ascii="Times New Roman" w:hAnsi="Times New Roman" w:cs="Times New Roman"/>
          <w:sz w:val="24"/>
          <w:szCs w:val="24"/>
          <w:lang w:val="en-US"/>
        </w:rPr>
        <w:t>kpkg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kassavk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028AF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КПК законодательства о кредитной кооперации осуществляет Ассоциация «Саморегулируемая организация кредитных потребительских кооперативов «Кооперативные финансы» г. Москва, номер кооператива в реестре СРО № 18 от 28.06.2010г.</w:t>
      </w:r>
    </w:p>
    <w:p w14:paraId="07EB9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СРО: 105318, г. Москва, ул. Ибрагимова, дом 31/47, офис 409, электронная почта: </w:t>
      </w:r>
      <w:r>
        <w:fldChar w:fldCharType="begin"/>
      </w:r>
      <w:r>
        <w:instrText xml:space="preserve"> HYPERLINK "mailto:info@coopfin.ru?subject=%D0%9F%D0%B8%D1%81%D1%8C%D0%BC%D0%BE%20%D1%81%20%D1%81%D0%B0%D0%B9%D1%82%D0%B0"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t>info@coopfin.ru</w:t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Директор СРО Соломкин Александр Алексеевич</w:t>
      </w:r>
    </w:p>
    <w:p w14:paraId="3852BA2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Надзор за КПК осуществляет Центральный Банк Российской кооперации (Банк России), за исключением отдельных случаев, предусмотренных законодательством. Телефон 8-800-300-30-00, официальный сайт : </w:t>
      </w:r>
      <w:r>
        <w:rPr>
          <w:rFonts w:ascii="Times New Roman" w:hAnsi="Times New Roman" w:cs="Times New Roman"/>
          <w:sz w:val="24"/>
          <w:szCs w:val="24"/>
          <w:lang w:val="en-US"/>
        </w:rPr>
        <w:t>www.cbr.ru</w:t>
      </w:r>
    </w:p>
    <w:p w14:paraId="6494E6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4D052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является рекламным материалом</w:t>
      </w:r>
    </w:p>
    <w:p w14:paraId="37E72D42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КПК:</w:t>
      </w:r>
    </w:p>
    <w:p w14:paraId="3F2E93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 должно быть членом кооператива (пайщиком), что подразумевает дополнительную уплату членских взносов (невозвратные), паев (возвратные).</w:t>
      </w:r>
    </w:p>
    <w:p w14:paraId="42177D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241D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Пайщик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17EA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общих собраниях, соблюдать Устав КПК и выполнять решения органов КПК.</w:t>
      </w:r>
    </w:p>
    <w:p w14:paraId="412119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солидарно нести субсидиарную ответственность по обязательствам КПК в пределах невнесенной части дополнительного взноса.</w:t>
      </w:r>
    </w:p>
    <w:p w14:paraId="036B8A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A93F7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Порядок выхода из членов КПК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DBA6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добровольное прекращение членства</w:t>
      </w:r>
    </w:p>
    <w:p w14:paraId="618E9DC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из членов КПК</w:t>
      </w:r>
    </w:p>
    <w:p w14:paraId="5F3F9D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КПК</w:t>
      </w:r>
    </w:p>
    <w:p w14:paraId="5E5419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КПК</w:t>
      </w:r>
    </w:p>
    <w:p w14:paraId="3D4182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смерть пайщика</w:t>
      </w:r>
    </w:p>
    <w:p w14:paraId="041C06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F3E8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досрочного возврата личных сбережений:</w:t>
      </w:r>
    </w:p>
    <w:p w14:paraId="6D9688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расторжении договора при выходе/исключении пайщика из КПК - не позднее 3 месяцев со дня подачи заявления о выходе/решения об исключении из КПК;</w:t>
      </w:r>
    </w:p>
    <w:p w14:paraId="35F23F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расторжении договора о передаче денежных средств, с условием сохранения членства в КПК - в соответствии с условиями договора и Положения о привлечении личных сбережений;</w:t>
      </w:r>
    </w:p>
    <w:p w14:paraId="454D03D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прекращении деятельности юрлица- члена КПК - не позднее 3 месяцев со дня подачи заявления  при ликвидации/решения об исключении из КПК.</w:t>
      </w:r>
    </w:p>
    <w:p w14:paraId="145C224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4D52A60">
      <w:pPr>
        <w:suppressAutoHyphens/>
        <w:jc w:val="center"/>
        <w:rPr>
          <w:rFonts w:ascii="Times New Roman" w:hAnsi="Times New Roman" w:eastAsia="Calibri" w:cs="Times New Roman"/>
          <w:bCs/>
          <w:lang w:eastAsia="ar-SA"/>
        </w:rPr>
      </w:pPr>
      <w:r>
        <w:rPr>
          <w:rFonts w:ascii="Times New Roman" w:hAnsi="Times New Roman" w:eastAsia="Calibri" w:cs="Times New Roman"/>
          <w:bCs/>
          <w:lang w:eastAsia="ar-SA"/>
        </w:rPr>
        <w:t>Условия хранения личных сбережений в КПК «Касса взаимного кредита»</w:t>
      </w:r>
    </w:p>
    <w:p w14:paraId="2074FFE4">
      <w:pPr>
        <w:suppressAutoHyphens/>
        <w:jc w:val="center"/>
        <w:rPr>
          <w:rFonts w:ascii="Times New Roman" w:hAnsi="Times New Roman" w:eastAsia="Calibri" w:cs="Times New Roman"/>
          <w:bCs/>
          <w:lang w:eastAsia="ar-SA"/>
        </w:rPr>
      </w:pPr>
    </w:p>
    <w:tbl>
      <w:tblPr>
        <w:tblStyle w:val="12"/>
        <w:tblW w:w="97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1666"/>
        <w:gridCol w:w="1701"/>
        <w:gridCol w:w="1277"/>
        <w:gridCol w:w="2350"/>
      </w:tblGrid>
      <w:tr w14:paraId="2B58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8" w:type="dxa"/>
            <w:tcBorders>
              <w:top w:val="single" w:color="808080" w:sz="18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34E0207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Вид</w:t>
            </w:r>
          </w:p>
          <w:p w14:paraId="5A56AC58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сбережений</w:t>
            </w:r>
          </w:p>
          <w:p w14:paraId="7CA4C826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376E7A1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Сумма личных</w:t>
            </w:r>
          </w:p>
          <w:p w14:paraId="554EDA3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сбережений</w:t>
            </w:r>
          </w:p>
          <w:p w14:paraId="06FDCD03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(руб.)</w:t>
            </w:r>
          </w:p>
        </w:tc>
        <w:tc>
          <w:tcPr>
            <w:tcW w:w="1701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07FAFB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Срок хранения</w:t>
            </w:r>
          </w:p>
          <w:p w14:paraId="54E8D882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(мес.)</w:t>
            </w:r>
          </w:p>
        </w:tc>
        <w:tc>
          <w:tcPr>
            <w:tcW w:w="1277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55FBA4D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Процен-ты (годовые, %)</w:t>
            </w:r>
          </w:p>
        </w:tc>
        <w:tc>
          <w:tcPr>
            <w:tcW w:w="2350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7309B316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Начисление</w:t>
            </w:r>
          </w:p>
          <w:p w14:paraId="4CB77E8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</w:t>
            </w:r>
          </w:p>
          <w:p w14:paraId="3BF38442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выплата </w:t>
            </w:r>
            <w:r>
              <w:rPr>
                <w:rFonts w:ascii="Times New Roman" w:hAnsi="Times New Roman" w:cs="Times New Roman"/>
                <w:i/>
                <w:lang w:eastAsia="zh-CN"/>
              </w:rPr>
              <w:t>%</w:t>
            </w:r>
          </w:p>
        </w:tc>
      </w:tr>
      <w:tr w14:paraId="7AE12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778" w:type="dxa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7EAAA91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До востребования</w:t>
            </w:r>
          </w:p>
          <w:p w14:paraId="1CEAD97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21CEA36F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</w:t>
            </w:r>
            <w:r>
              <w:rPr>
                <w:rFonts w:ascii="Times New Roman" w:hAnsi="Times New Roman" w:cs="Times New Roman"/>
                <w:lang w:eastAsia="zh-CN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lang w:eastAsia="zh-CN"/>
              </w:rPr>
              <w:t>00000,00</w:t>
            </w: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AA9B974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Не ограничен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1C87A7F1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2350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48A698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Ежедневно</w:t>
            </w:r>
          </w:p>
        </w:tc>
      </w:tr>
      <w:tr w14:paraId="5799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8" w:type="dxa"/>
            <w:vMerge w:val="restart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0DEBF3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Сберегательный</w:t>
            </w:r>
          </w:p>
        </w:tc>
        <w:tc>
          <w:tcPr>
            <w:tcW w:w="1666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71598FC3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2 000 000 рублей</w:t>
            </w:r>
          </w:p>
          <w:p w14:paraId="6EFBA910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5336B35F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08B32BF5">
            <w:pPr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350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C71E073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Ежемесячно</w:t>
            </w:r>
          </w:p>
          <w:p w14:paraId="34CA8ED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19B2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vMerge w:val="continue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1DAD0201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C64A2CF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2B1602D3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12 месяцев и выше</w:t>
            </w:r>
          </w:p>
        </w:tc>
        <w:tc>
          <w:tcPr>
            <w:tcW w:w="1277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54E4DFC">
            <w:pPr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350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01EE243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67C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778" w:type="dxa"/>
            <w:vMerge w:val="restart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40B1A145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Накопительный </w:t>
            </w:r>
          </w:p>
        </w:tc>
        <w:tc>
          <w:tcPr>
            <w:tcW w:w="1666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1CDB021D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2 000 000 рублей</w:t>
            </w: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single" w:color="000000" w:sz="4" w:space="0"/>
              <w:right w:val="thickThinLargeGap" w:color="808080" w:sz="2" w:space="0"/>
            </w:tcBorders>
            <w:vAlign w:val="center"/>
          </w:tcPr>
          <w:p w14:paraId="4ACD5834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single" w:color="000000" w:sz="4" w:space="0"/>
              <w:right w:val="thickThinLargeGap" w:color="808080" w:sz="2" w:space="0"/>
            </w:tcBorders>
            <w:vAlign w:val="center"/>
          </w:tcPr>
          <w:p w14:paraId="620AD1DA">
            <w:pPr>
              <w:tabs>
                <w:tab w:val="left" w:pos="6810"/>
                <w:tab w:val="left" w:pos="7050"/>
              </w:tabs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350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CC5FB8F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Ежемесячно </w:t>
            </w:r>
          </w:p>
          <w:p w14:paraId="74CB4D6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F49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778" w:type="dxa"/>
            <w:vMerge w:val="continue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69755A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7E06575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F830C96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12 месяцев и выше</w:t>
            </w:r>
          </w:p>
        </w:tc>
        <w:tc>
          <w:tcPr>
            <w:tcW w:w="1277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D441D0B">
            <w:pPr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350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CC58207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D1F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8" w:type="dxa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66BE4D9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Накопительный пенсионный социальный</w:t>
            </w:r>
          </w:p>
        </w:tc>
        <w:tc>
          <w:tcPr>
            <w:tcW w:w="1666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3BD3C65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 200 000 рублей</w:t>
            </w: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46EFAF76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671C8E7B">
            <w:pPr>
              <w:tabs>
                <w:tab w:val="left" w:pos="6810"/>
                <w:tab w:val="left" w:pos="7050"/>
              </w:tabs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350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B8DEFE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Ежемесячно</w:t>
            </w:r>
          </w:p>
        </w:tc>
      </w:tr>
    </w:tbl>
    <w:p w14:paraId="1686E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0034A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610748D">
      <w:pPr>
        <w:spacing w:after="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5CFD9A0">
      <w:pPr>
        <w:ind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Начисление компенсации после окончания срока договора передачи личных сбережений не производится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</w:t>
      </w:r>
    </w:p>
    <w:p w14:paraId="44CA9DA2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Дополнительные взносы по договорам личных сбережений принимаются в рамках установленных правлением  процентных ставок на дату внесения дополнительных взносов. В случае, если по ранее заключенному договору личных сбережений процентная ставка превышает действующую, необходимо заключать новый договор по новым действующим процентным ставкам. </w:t>
      </w:r>
    </w:p>
    <w:p w14:paraId="3344875F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Компенсацию по договорам Сберегательным можно получать в любое время, по Накопительным в конце срока.</w:t>
      </w:r>
    </w:p>
    <w:p w14:paraId="195C75E3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Сберегатели оплачиваю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членский взнос в размере 1% от суммы сбережений пропорционально сроку хранения личных сбережений.</w:t>
      </w:r>
    </w:p>
    <w:p w14:paraId="53F453C7">
      <w:pPr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При досрочном расторжении при сохранении членства в кооперативе при финансовой возможности кооператива суммы до 100 тыс. рублей возвращаются в течение 5 рабочих дней, свыше 100 тыс. руб. в течение 90 рабочих дней. В случае массового изъятия или возврата крупной суммы сбережений, чтобы не пошатнуть финансовую стабильность кооператива, в первую очередь производятся выплаты сберегателям по срокам окончания договоров сбережений, и только после этого по дополнительному соглашению определяется порядок и сроки досрочного возврата личных сбережений. Процентная ставка по данным соглашениям устанавливается  в размере ставки до востребования</w:t>
      </w:r>
      <w:r>
        <w:rPr>
          <w:rFonts w:ascii="Calibri" w:hAnsi="Calibri" w:eastAsia="Calibri" w:cs="Times New Roman"/>
        </w:rPr>
        <w:t>.</w:t>
      </w:r>
    </w:p>
    <w:p w14:paraId="324A8BCA">
      <w:pPr>
        <w:ind w:firstLine="480" w:firstLineChars="200"/>
        <w:jc w:val="both"/>
        <w:rPr>
          <w:rFonts w:hint="default" w:ascii="Times New Roman" w:hAnsi="Times New Roman" w:eastAsia="Microsoft JhengHei Light"/>
          <w:sz w:val="24"/>
          <w:szCs w:val="24"/>
          <w:lang w:val="ru-RU"/>
        </w:rPr>
      </w:pPr>
      <w:r>
        <w:rPr>
          <w:rFonts w:hint="default" w:ascii="Times New Roman" w:hAnsi="Times New Roman" w:eastAsia="Microsoft JhengHei Light"/>
          <w:sz w:val="24"/>
          <w:szCs w:val="24"/>
          <w:lang w:val="ru-RU"/>
        </w:rPr>
        <w:t>Правление кооператива имеет право менять процентную ставку по договорам личных сбережений (в зависимости от размера ключевой ставки Банка России, конъюнктуры финансовых, кредитных организаций, финансового положения кооператива) каждые три месяца с момента принятия решения Правления.</w:t>
      </w:r>
    </w:p>
    <w:p w14:paraId="4026269F">
      <w:pPr>
        <w:ind w:firstLine="240"/>
        <w:jc w:val="both"/>
        <w:rPr>
          <w:rFonts w:hint="default" w:ascii="Times New Roman" w:hAnsi="Times New Roman" w:eastAsia="Microsoft JhengHei Light"/>
          <w:sz w:val="24"/>
          <w:szCs w:val="24"/>
          <w:lang w:val="ru-RU"/>
        </w:rPr>
      </w:pPr>
      <w:r>
        <w:rPr>
          <w:rFonts w:hint="default" w:ascii="Times New Roman" w:hAnsi="Times New Roman" w:eastAsia="Microsoft JhengHei Light"/>
          <w:sz w:val="24"/>
          <w:szCs w:val="24"/>
          <w:lang w:val="ru-RU"/>
        </w:rPr>
        <w:t>При изменении процентной ставки сберегатель имеет право расторгнуть договор о передаче личных сбережений с сохранением ранее начисленных процентов в течение 30 дней со дня принятия решения Правлением кооператива по заявлению сберегателя.</w:t>
      </w:r>
    </w:p>
    <w:p w14:paraId="13D0C0C4">
      <w:pPr>
        <w:jc w:val="both"/>
        <w:rPr>
          <w:rFonts w:ascii="Calibri" w:hAnsi="Calibri" w:eastAsia="Calibri" w:cs="Times New Roman"/>
        </w:rPr>
      </w:pPr>
    </w:p>
    <w:p w14:paraId="1B7F48C5"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Имущественная ответственность:</w:t>
      </w:r>
    </w:p>
    <w:p w14:paraId="1B88968D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 КПК отвечает по своим обязательствам всем принадлежащим ему имуществом.</w:t>
      </w:r>
    </w:p>
    <w:p w14:paraId="5525936D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Компенсационный фонд СРО формируется из членских взносов всех КПК, входящих в СРО, и используется СРО для обеспечения имущественной ответственности КПК при недостаточности собственного имущества. (сайт СРО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www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coopfin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ru</w:t>
      </w:r>
      <w:r>
        <w:rPr>
          <w:rFonts w:ascii="Times New Roman" w:hAnsi="Times New Roman" w:eastAsia="Calibri" w:cs="Times New Roman"/>
          <w:sz w:val="24"/>
          <w:szCs w:val="24"/>
        </w:rPr>
        <w:t xml:space="preserve"> - вкладка Пайщикам - Компенсационные выплаты - Информация о величине компенсационного фонда).</w:t>
      </w:r>
    </w:p>
    <w:p w14:paraId="72D06E75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Важно! Предельный размер выплат из компенсационного фонда в отношении одного кооператива - не более 5% от стоимости данного фонда. (для примера, на 01.10.2025года компенсационный фонд СРО "Кооперативные финансы составил 673 099 625 руб., следовательно один кооператив может рассчитывать на сумму 33 654 981 рубль.) </w:t>
      </w:r>
    </w:p>
    <w:p w14:paraId="6759C6FD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Важно! Пайшик самостоятельно в рамках законодательства о банкротстве взыскивает с КПК денежные средства, а также начисленные проценты.</w:t>
      </w:r>
    </w:p>
    <w:p w14:paraId="1EAF7419">
      <w:pPr>
        <w:pStyle w:val="16"/>
        <w:widowControl w:val="0"/>
        <w:numPr>
          <w:ilvl w:val="0"/>
          <w:numId w:val="2"/>
        </w:numPr>
        <w:tabs>
          <w:tab w:val="left" w:pos="63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Требования членов КПК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членов КПК по договорам передачи личных сбережений подлежат удовлетворению в первую очередь (после удовлетворения требований граждан, перед которыми КПК несет ответственность за причинение вреда жизни/здоровью) в сумме не более 700 тыс.руб. (но не более основной суммы долга в отношении каждого члена КПК).</w:t>
      </w:r>
    </w:p>
    <w:p w14:paraId="0944D1CF">
      <w:pPr>
        <w:pStyle w:val="16"/>
        <w:numPr>
          <w:ilvl w:val="0"/>
          <w:numId w:val="2"/>
        </w:num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членов КПК в сумме, превышающей 700 тыс.руб., в том числе по возмещению упущенной выгоды, а также по уплате финансовых санкций, подлежат удовлетворению в третью очередь</w:t>
      </w:r>
    </w:p>
    <w:p w14:paraId="732E67E6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/>
        </w:rPr>
        <w:drawing>
          <wp:anchor distT="0" distB="52070" distL="63500" distR="191770" simplePos="0" relativeHeight="251659264" behindDoc="1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21590</wp:posOffset>
            </wp:positionV>
            <wp:extent cx="255905" cy="274320"/>
            <wp:effectExtent l="0" t="0" r="0" b="0"/>
            <wp:wrapSquare wrapText="right"/>
            <wp:docPr id="1910368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6866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Денежные средства, привлеченные в КПК,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не застрахованы государством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!</w:t>
      </w:r>
    </w:p>
    <w:p w14:paraId="5C6E9D07">
      <w:pPr>
        <w:pStyle w:val="16"/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Пайщик и КПК вправе в добровольном порядке застраховать риски, связанные с заключением договора передачи личных сбережений. Страховые случаи определяются в договоре страхования.</w:t>
      </w:r>
    </w:p>
    <w:p w14:paraId="1FA12A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Пайщик вправе защищать свои права и законные интересы следующими способами:</w:t>
      </w:r>
    </w:p>
    <w:p w14:paraId="45478C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3.1.Обращаться с целью защиты своих прав и законных интересов в кредитный потребительский кооператив, в СРО, в котором состоит кооператив, в общественные и иные организации, созданные и осуществляющие свою деятельность по защите прав и законных интересов потребителей(получателей) финансовых услуг в соответствии с законодательством Российской Федерации, в Банк России и иные государственные органы с жалобами и заявлениями;</w:t>
      </w:r>
    </w:p>
    <w:p w14:paraId="020B3E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3.2.Обжаловать действия (бездействие) кооператива в Суде;</w:t>
      </w:r>
    </w:p>
    <w:p w14:paraId="07F0595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bCs/>
          <w:sz w:val="24"/>
          <w:szCs w:val="24"/>
        </w:rPr>
        <w:t>Реализовать свои права получателя финансовых услуг в досудебном порядке разрешения споров, который в соответствии со Стандартом предусматривает:</w:t>
      </w:r>
    </w:p>
    <w:p w14:paraId="23D4BF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нарушении получателем финансовых услуг сроков возврата основной суммы долга и (или) уплаты процентов по договору займа кредитный кооператив доводит до сведения пайщика способами, предусмотренными </w:t>
      </w:r>
      <w:r>
        <w:fldChar w:fldCharType="begin"/>
      </w:r>
      <w:r>
        <w:instrText xml:space="preserve"> HYPERLINK "consultantplus://offline/ref=10C717F433F622CE9ACA09920F2E076E63A0D6FCADE0E94B98D60B2601B680B891BD186C3A2129DCcAoCI"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статьей 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Стандарта, претензию для разрешения спора в досудебном порядке.</w:t>
      </w:r>
    </w:p>
    <w:p w14:paraId="75A6C8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претензии, направляемой кредитным кооперативом, должна быть указана следующая информация:</w:t>
      </w:r>
    </w:p>
    <w:p w14:paraId="2C3021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кредитного кооператива и сведения, достаточные для его идентификации;</w:t>
      </w:r>
    </w:p>
    <w:p w14:paraId="13C345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размер и структура текущей задолженности пайщика на дату предъявления претензии;</w:t>
      </w:r>
    </w:p>
    <w:p w14:paraId="57B26F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способ (способы) оплаты задолженности;</w:t>
      </w:r>
    </w:p>
    <w:p w14:paraId="0EB0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последствия неисполнения пайщиком своих обязательств до указанного в претензии срока;</w:t>
      </w:r>
    </w:p>
    <w:p w14:paraId="1F9DCF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способы внесудебного разрешения спора, в том числе возможность использования процедуры медиации для разрешения спора (при наличии в договоре займа медиативной оговорки).</w:t>
      </w:r>
    </w:p>
    <w:p w14:paraId="1E53B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Кредитный кооператив и пайщик при взаимном соглашении сторон вправе использовать способы внесудебного разрешения спора, установленные законодательством Российской Федерации, в том числе посредством претензионного порядка, медиативных процедур и переговоров.</w:t>
      </w:r>
    </w:p>
    <w:p w14:paraId="76A4E95A">
      <w:pPr>
        <w:autoSpaceDE w:val="0"/>
        <w:autoSpaceDN w:val="0"/>
        <w:adjustRightInd w:val="0"/>
        <w:spacing w:after="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3.4. Пайщик вправе защищать свои права и законные интересы иными установленными или незапрещенными законодательством способами</w:t>
      </w:r>
      <w:r>
        <w:t>.</w:t>
      </w:r>
    </w:p>
    <w:p w14:paraId="5D698F57">
      <w:pPr>
        <w:widowControl w:val="0"/>
        <w:spacing w:line="216" w:lineRule="exact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93477B5">
      <w:pPr>
        <w:widowControl w:val="0"/>
        <w:spacing w:line="216" w:lineRule="exact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Куда жаловаться?</w:t>
      </w:r>
      <w:r>
        <w:t xml:space="preserve"> </w:t>
      </w:r>
    </w:p>
    <w:p w14:paraId="5748054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Обращение в кооператив</w:t>
      </w:r>
    </w:p>
    <w:p w14:paraId="5779F69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Путем предоставления документов в офис кооператива в рабочие дни с понедельника по пятницу по следующим адресам, указанным выше: </w:t>
      </w:r>
    </w:p>
    <w:p w14:paraId="6148D05E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почте по адресу: 659900, Алтайский край, гБелокуриха, ул.Партизанская, 11 (почтовый адрес кооператива)</w:t>
      </w:r>
    </w:p>
    <w:p w14:paraId="129382CD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 электронной почте: </w:t>
      </w:r>
      <w:r>
        <w:rPr>
          <w:rFonts w:ascii="Times New Roman" w:hAnsi="Times New Roman" w:cs="Times New Roman"/>
          <w:sz w:val="24"/>
          <w:szCs w:val="24"/>
          <w:lang w:val="en-US"/>
        </w:rPr>
        <w:t>kpkg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kassavk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простой, квалифицированной или усиленной квалифицированной электронно-цифровой подписью);</w:t>
      </w:r>
    </w:p>
    <w:p w14:paraId="456A234B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по факсу: 8(38577) 32946 в рабочие дни с понедельника по пятницу с 08.30 до 17.30 местного времени; </w:t>
      </w:r>
    </w:p>
    <w:p w14:paraId="51CD5684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2.Обращение получателей финансовых услуг в СРО</w:t>
      </w:r>
      <w:r>
        <w:rPr>
          <w:rFonts w:ascii="Times New Roman" w:hAnsi="Times New Roman" w:cs="Times New Roman"/>
          <w:sz w:val="24"/>
          <w:szCs w:val="24"/>
        </w:rPr>
        <w:t xml:space="preserve"> Ассоциация «Саморегулируемая организация кредитных потребительских кооперативов «Кооперативные финансы», в которой состоит кооператив, предоставляются по почте заказным отправлением с уведомлением о вручении или простым почтовым отправлением по адресу: 105318, г. Москва, ул. Ибрагимова, дом 31, офис 522, или по электронной почте: </w:t>
      </w:r>
      <w:r>
        <w:fldChar w:fldCharType="begin"/>
      </w:r>
      <w:r>
        <w:instrText xml:space="preserve"> HYPERLINK "mailto:info@coopfin.ru?subject=%D0%9F%D0%B8%D1%81%D1%8C%D0%BC%D0%BE%20%D1%81%20%D1%81%D0%B0%D0%B9%D1%82%D0%B0"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t>info@coopfin.ru</w:t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(документы в электронном виде подписываются простой, квалифицированной или усиленной квалифицированной электронно-цифровой подписью) </w:t>
      </w:r>
    </w:p>
    <w:p w14:paraId="4F6D9F63">
      <w:pPr>
        <w:pStyle w:val="27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7AA812">
      <w:pPr>
        <w:spacing w:after="0"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235180F2">
      <w:pPr>
        <w:spacing w:after="0"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3.Обращение получателей финансовых услуг в Банк России предоставляются:</w:t>
      </w:r>
    </w:p>
    <w:p w14:paraId="5C259981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 Контактный центр Банка России</w:t>
      </w:r>
    </w:p>
    <w:p w14:paraId="6C0C75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"tel:88002504072"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>8 800 250-40-72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(для бесплатных звонков из регионов России)</w:t>
      </w:r>
    </w:p>
    <w:p w14:paraId="22FEE0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"tel:+74957719100"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>+7 495 771-91-00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(звонок по тарифам Вашего оператора связи)</w:t>
      </w:r>
    </w:p>
    <w:p w14:paraId="2C717BF1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 Общественную приемная Банка России</w:t>
      </w:r>
    </w:p>
    <w:p w14:paraId="536110B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Адрес: г. Москва, Сандуновский пер., д. 3, стр. 1.</w:t>
      </w:r>
    </w:p>
    <w:p w14:paraId="29375C52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Время работы: </w:t>
      </w:r>
    </w:p>
    <w:p w14:paraId="31BAED6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– четверг с 10:00 до 16:00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(перерыв с 12:30 до 13:30)</w:t>
      </w:r>
    </w:p>
    <w:p w14:paraId="63A80DDE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Другие способы обращения в Банк России</w:t>
      </w:r>
    </w:p>
    <w:p w14:paraId="1AE792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письменные обращения в Банк России можно на почтовый адрес: </w:t>
      </w:r>
    </w:p>
    <w:p w14:paraId="335983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107016, Москва, ул. Неглинная, д. 12, Банк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BB346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 факсу: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+7 495 621-64-65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+7 495 621-62-88</w:t>
      </w:r>
    </w:p>
    <w:p w14:paraId="2C5887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проверка прохождения факса +7 495 771-48-30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4FACDC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почтовый адрес или факс </w:t>
      </w:r>
      <w:r>
        <w:fldChar w:fldCharType="begin"/>
      </w:r>
      <w:r>
        <w:instrText xml:space="preserve"> HYPERLINK "http://www.cbr.ru/today/?PrtId=tubr" \t "_blank"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территориального учреждения Банка России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color w:val="000000"/>
          <w:sz w:val="24"/>
          <w:szCs w:val="24"/>
        </w:rPr>
        <w:t>656056, Алтайский край, г. Барнаул, ул. Горького, 30, тел. 8-3852-38-86-09</w:t>
      </w:r>
    </w:p>
    <w:p w14:paraId="50C58BC4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B49A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Обращения получателей финансовых к финуполномоченному</w:t>
      </w:r>
    </w:p>
    <w:p w14:paraId="361F2EBA">
      <w:pPr>
        <w:spacing w:after="0"/>
        <w:ind w:firstLine="567"/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</w:pP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>Официальный сайт финансового уполномоченного: </w:t>
      </w:r>
      <w:r>
        <w:fldChar w:fldCharType="begin"/>
      </w:r>
      <w:r>
        <w:instrText xml:space="preserve"> HYPERLINK "https://www.finombudsman.ru/" </w:instrText>
      </w:r>
      <w:r>
        <w:fldChar w:fldCharType="separate"/>
      </w:r>
      <w:r>
        <w:rPr>
          <w:rStyle w:val="14"/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t>www.finombudsman.ru</w:t>
      </w:r>
      <w:r>
        <w:rPr>
          <w:rStyle w:val="14"/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 w:type="textWrapping"/>
      </w: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Номер телефона службы обеспечения деятельности финансового уполномоченного: 8 (800) 200-00-1- (бесплатный звонок по России).</w:t>
      </w:r>
      <w:r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 w:type="textWrapping"/>
      </w: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Место нахождения службы обеспечения деятельности финансового уполномоченного: 119017, г. Москва, Старомонетный переулок, дом 3.</w:t>
      </w:r>
      <w:r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 w:type="textWrapping"/>
      </w: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Почтовый адрес службы обеспечения деятельности финансового уполномоченного: 119017, г. Москва, Старомонетный переулок, дом 3, получатель АНО «СОДФУ».</w:t>
      </w:r>
    </w:p>
    <w:p w14:paraId="21EDF939">
      <w:pPr>
        <w:spacing w:after="0"/>
        <w:ind w:firstLine="567"/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</w:pPr>
      <w:bookmarkStart w:id="0" w:name="_GoBack"/>
      <w:bookmarkEnd w:id="0"/>
    </w:p>
    <w:p w14:paraId="17101C4E">
      <w:pPr>
        <w:widowControl w:val="0"/>
        <w:spacing w:after="0"/>
        <w:ind w:left="840"/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  <w:t>4. При неурегулировании вопроса в претензионном порядке пайщик имеет право обратиться в суд.</w:t>
      </w:r>
    </w:p>
    <w:p w14:paraId="79D61A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624" w:right="720" w:bottom="62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44F07BE"/>
    <w:multiLevelType w:val="multilevel"/>
    <w:tmpl w:val="644F07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6FC1"/>
    <w:rsid w:val="001159B0"/>
    <w:rsid w:val="004172BC"/>
    <w:rsid w:val="004D3307"/>
    <w:rsid w:val="00632218"/>
    <w:rsid w:val="007F17F5"/>
    <w:rsid w:val="00A17956"/>
    <w:rsid w:val="00A74A84"/>
    <w:rsid w:val="00AC528B"/>
    <w:rsid w:val="00B25210"/>
    <w:rsid w:val="00BC1BDC"/>
    <w:rsid w:val="00C314C4"/>
    <w:rsid w:val="00C84A69"/>
    <w:rsid w:val="00CC515C"/>
    <w:rsid w:val="00E36FC1"/>
    <w:rsid w:val="57F86A60"/>
    <w:rsid w:val="5EB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numPr>
        <w:ilvl w:val="0"/>
        <w:numId w:val="1"/>
      </w:numPr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3">
    <w:name w:val="heading 2"/>
    <w:basedOn w:val="1"/>
    <w:next w:val="1"/>
    <w:link w:val="18"/>
    <w:qFormat/>
    <w:uiPriority w:val="99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4">
    <w:name w:val="heading 3"/>
    <w:basedOn w:val="1"/>
    <w:next w:val="1"/>
    <w:link w:val="19"/>
    <w:qFormat/>
    <w:uiPriority w:val="99"/>
    <w:pPr>
      <w:keepNext/>
      <w:numPr>
        <w:ilvl w:val="2"/>
        <w:numId w:val="1"/>
      </w:numPr>
      <w:spacing w:after="0" w:line="240" w:lineRule="auto"/>
      <w:jc w:val="right"/>
      <w:outlineLvl w:val="2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5">
    <w:name w:val="heading 4"/>
    <w:basedOn w:val="1"/>
    <w:next w:val="1"/>
    <w:link w:val="20"/>
    <w:qFormat/>
    <w:uiPriority w:val="99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6">
    <w:name w:val="heading 5"/>
    <w:basedOn w:val="1"/>
    <w:next w:val="1"/>
    <w:link w:val="21"/>
    <w:qFormat/>
    <w:uiPriority w:val="99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32"/>
      <w:szCs w:val="32"/>
      <w:lang w:eastAsia="ar-SA"/>
    </w:rPr>
  </w:style>
  <w:style w:type="paragraph" w:styleId="7">
    <w:name w:val="heading 6"/>
    <w:basedOn w:val="1"/>
    <w:next w:val="1"/>
    <w:link w:val="22"/>
    <w:qFormat/>
    <w:uiPriority w:val="99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">
    <w:name w:val="heading 7"/>
    <w:basedOn w:val="1"/>
    <w:next w:val="1"/>
    <w:link w:val="23"/>
    <w:qFormat/>
    <w:uiPriority w:val="99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9">
    <w:name w:val="heading 8"/>
    <w:basedOn w:val="1"/>
    <w:next w:val="1"/>
    <w:link w:val="24"/>
    <w:qFormat/>
    <w:uiPriority w:val="99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10">
    <w:name w:val="heading 9"/>
    <w:basedOn w:val="1"/>
    <w:next w:val="1"/>
    <w:link w:val="25"/>
    <w:qFormat/>
    <w:uiPriority w:val="99"/>
    <w:pPr>
      <w:keepNext/>
      <w:numPr>
        <w:ilvl w:val="8"/>
        <w:numId w:val="1"/>
      </w:numPr>
      <w:spacing w:after="0" w:line="240" w:lineRule="auto"/>
      <w:ind w:left="283" w:hanging="283"/>
      <w:jc w:val="right"/>
      <w:outlineLvl w:val="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header"/>
    <w:basedOn w:val="1"/>
    <w:link w:val="26"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  <w:style w:type="character" w:customStyle="1" w:styleId="17">
    <w:name w:val="Заголовок 1 Знак"/>
    <w:basedOn w:val="11"/>
    <w:link w:val="2"/>
    <w:qFormat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8">
    <w:name w:val="Заголовок 2 Знак"/>
    <w:basedOn w:val="11"/>
    <w:link w:val="3"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9">
    <w:name w:val="Заголовок 3 Знак"/>
    <w:basedOn w:val="11"/>
    <w:link w:val="4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4 Знак"/>
    <w:basedOn w:val="11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21">
    <w:name w:val="Заголовок 5 Знак"/>
    <w:basedOn w:val="11"/>
    <w:link w:val="6"/>
    <w:qFormat/>
    <w:uiPriority w:val="99"/>
    <w:rPr>
      <w:rFonts w:ascii="Times New Roman" w:hAnsi="Times New Roman" w:eastAsia="Times New Roman" w:cs="Times New Roman"/>
      <w:b/>
      <w:bCs/>
      <w:sz w:val="32"/>
      <w:szCs w:val="32"/>
      <w:lang w:eastAsia="ar-SA"/>
    </w:rPr>
  </w:style>
  <w:style w:type="character" w:customStyle="1" w:styleId="22">
    <w:name w:val="Заголовок 6 Знак"/>
    <w:basedOn w:val="11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3">
    <w:name w:val="Заголовок 7 Знак"/>
    <w:basedOn w:val="11"/>
    <w:link w:val="8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24">
    <w:name w:val="Заголовок 8 Знак"/>
    <w:basedOn w:val="11"/>
    <w:link w:val="9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25">
    <w:name w:val="Заголовок 9 Знак"/>
    <w:basedOn w:val="11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6">
    <w:name w:val="Верхний колонтитул Знак"/>
    <w:basedOn w:val="11"/>
    <w:link w:val="15"/>
    <w:qFormat/>
    <w:uiPriority w:val="99"/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1399</Words>
  <Characters>9290</Characters>
  <Lines>80</Lines>
  <Paragraphs>22</Paragraphs>
  <TotalTime>4</TotalTime>
  <ScaleCrop>false</ScaleCrop>
  <LinksUpToDate>false</LinksUpToDate>
  <CharactersWithSpaces>10617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2025-11-07T05:34:00Z</dcterms:created>
  <dc:creator>Boss</dc:creator>
  <cp:lastModifiedBy>Boss</cp:lastModifiedBy>
  <cp:lastPrinted>2026-06-01T02:56:13Z</cp:lastPrinted>
  <dcterms:modified xsi:type="dcterms:W3CDTF">2026-06-01T02:57:47Z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5B000289087741D2AE2F3F8A44749CFB_12</vt:lpwstr>
  </property>
  <property fmtid="{D5CDD505-2E9C-101B-9397-08002B2CF9AE}" pid="4" name="KSOTemplateDocerSaveRecord">
    <vt:lpwstr>eyJoZGlkIjoiYWQwYmI5MTNmZGI2NGFkNzkwMTdjNDhmNzE5ZDcxNWUifQ==</vt:lpwstr>
  </property>
</Properties>
</file>