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C3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УТВЕРЖДЕНО</w:t>
      </w:r>
    </w:p>
    <w:p w14:paraId="26318F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Решением Правления </w:t>
      </w:r>
    </w:p>
    <w:p w14:paraId="2559A1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КПК «Касса взаимного кредита»</w:t>
      </w:r>
    </w:p>
    <w:p w14:paraId="21282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Протокол №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19 </w:t>
      </w:r>
      <w:r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июня</w:t>
      </w:r>
      <w:r>
        <w:rPr>
          <w:rFonts w:ascii="Times New Roman" w:hAnsi="Times New Roman" w:cs="Times New Roman"/>
          <w:sz w:val="24"/>
          <w:szCs w:val="24"/>
        </w:rPr>
        <w:t xml:space="preserve"> 2026г.</w:t>
      </w:r>
    </w:p>
    <w:p w14:paraId="22BA30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Председатель КПК </w:t>
      </w:r>
    </w:p>
    <w:p w14:paraId="4570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_______________Кочерова Е.Ю.</w:t>
      </w:r>
    </w:p>
    <w:p w14:paraId="1B5E5F8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025B5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об условиях предоставления, использования и возврата потребительского займа в кредитном потребительском кооперативе «Касса взаимного кредита»</w:t>
      </w:r>
    </w:p>
    <w:p w14:paraId="448C88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Настоящий документ разработан кредитным потребительским кооперативом «Касса взаимного кредита», ОГРН    (далее - кредитный кооператив), в соответствии с требованиями действующего законодательства РФ, в том числе в в соответствии с Федеральным законом Российской Федерации от 21 декабря 2013г. № 353-ФЗ «О потребительском кредите (займе)». Настоящий документ содержит информацию об условиях предоставления, использования и возврата потребительского займа и подлежит размещению в местах оказания финансовой взаимопомощи – офисах кредитного кооператива, в том числе в сети Интернет на сайте 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kvk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bel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685"/>
        <w:gridCol w:w="5743"/>
      </w:tblGrid>
      <w:tr w14:paraId="56C16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A493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85" w:type="dxa"/>
          </w:tcPr>
          <w:p w14:paraId="0F4DF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кредитного кооператива-займодавца</w:t>
            </w:r>
          </w:p>
        </w:tc>
        <w:tc>
          <w:tcPr>
            <w:tcW w:w="5743" w:type="dxa"/>
          </w:tcPr>
          <w:p w14:paraId="388B0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Кредитный потребительский кооператив «Касса взаимного кредита»</w:t>
            </w:r>
          </w:p>
        </w:tc>
      </w:tr>
      <w:tr w14:paraId="189D2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1E9D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18648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нахождения постоянно действующего исполнительного органа</w:t>
            </w:r>
          </w:p>
        </w:tc>
        <w:tc>
          <w:tcPr>
            <w:tcW w:w="5743" w:type="dxa"/>
          </w:tcPr>
          <w:p w14:paraId="169D4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659900, Россия, Алтайский край, г.Белокуриха, ул.Партизанская, 11</w:t>
            </w:r>
          </w:p>
        </w:tc>
      </w:tr>
      <w:tr w14:paraId="25A2D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418E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59D5B9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743" w:type="dxa"/>
          </w:tcPr>
          <w:p w14:paraId="56132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(38577) 32946, 8 903 912 22 18</w:t>
            </w:r>
          </w:p>
        </w:tc>
      </w:tr>
      <w:tr w14:paraId="39FE5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C28EB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50053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в информационно-телекоммуникационной сети «Интернет»</w:t>
            </w:r>
          </w:p>
        </w:tc>
        <w:tc>
          <w:tcPr>
            <w:tcW w:w="5743" w:type="dxa"/>
          </w:tcPr>
          <w:p w14:paraId="54B64A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www.kvk-bel.ru</w:t>
            </w:r>
          </w:p>
        </w:tc>
      </w:tr>
      <w:tr w14:paraId="49C82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28C5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685" w:type="dxa"/>
          </w:tcPr>
          <w:p w14:paraId="54AD21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членстве в саморегулируемой организации</w:t>
            </w:r>
          </w:p>
        </w:tc>
        <w:tc>
          <w:tcPr>
            <w:tcW w:w="5743" w:type="dxa"/>
          </w:tcPr>
          <w:p w14:paraId="31E6DA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Кредитный кооператив является членом некоммерческого партнерства «Саморегулируемая организация кредитных потребительских кооперативов «Кооперативные финансы», запись в реестре членов СРО «Кооперативные финансы» № 18 от 28.06.2010 года.</w:t>
            </w:r>
          </w:p>
          <w:p w14:paraId="44329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4F0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B930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3B8F1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заемщику, установленные кредитным кооперативом, выполнение которых является обязательным для предоставления потребительского займа</w:t>
            </w:r>
          </w:p>
        </w:tc>
        <w:tc>
          <w:tcPr>
            <w:tcW w:w="5743" w:type="dxa"/>
          </w:tcPr>
          <w:p w14:paraId="40C350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Заемщик – член кредитного кооператива, дееспособный в полном объеме гражданин Российской Федерации, зарегистрированный на территории Алтайского края и Республики Алтай, ознакомившийся и давший согласие соблюдать устав, внутренние нормативные документы и выполнять решения органов кредитного кооператива, не являющихся ответчиком по какому-либо иску, поданному третьим лицам, подозреваемым, обвиняемым или подсудным по какому-либо уголовному делу.</w:t>
            </w:r>
          </w:p>
          <w:p w14:paraId="48133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DAF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D233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73457D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рассмотрения оформленного заемщиком заявления о предоставлении потребительского займа и принятия решения относительно этого заявления</w:t>
            </w:r>
          </w:p>
        </w:tc>
        <w:tc>
          <w:tcPr>
            <w:tcW w:w="5743" w:type="dxa"/>
          </w:tcPr>
          <w:p w14:paraId="072EB1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пяти рабочих дней с момента предоставления заемщиком полного пакета документов</w:t>
            </w:r>
          </w:p>
        </w:tc>
      </w:tr>
      <w:tr w14:paraId="06C3D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432A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6F8D5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необходимых для рассмотрения заявления, в том числе для оценки кредитоспособности заемщика</w:t>
            </w:r>
          </w:p>
        </w:tc>
        <w:tc>
          <w:tcPr>
            <w:tcW w:w="5743" w:type="dxa"/>
          </w:tcPr>
          <w:p w14:paraId="04162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паспорт</w:t>
            </w:r>
          </w:p>
          <w:p w14:paraId="795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пенсионное удостоверение (при наличии)</w:t>
            </w:r>
          </w:p>
          <w:p w14:paraId="35206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справка ВТЭК (при наличии)</w:t>
            </w:r>
          </w:p>
          <w:p w14:paraId="5A01F5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ИНН</w:t>
            </w:r>
          </w:p>
          <w:p w14:paraId="455A2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СНИЛС</w:t>
            </w:r>
          </w:p>
          <w:p w14:paraId="1A1D7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справка о доходах по форме кредитного кооператива либо справка 2-НДФЛ, либо иной документ, подтверждающий размер дохода. В случае предоставления поручительства и (или) залога третьих лиц, вышеуказанные документы предоставляются поручителями и (или) залогодателями;</w:t>
            </w:r>
          </w:p>
          <w:p w14:paraId="4C9FB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при предоставлении залога: документы, подтверждающие право собственности на предмет залога.</w:t>
            </w:r>
          </w:p>
          <w:p w14:paraId="21047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копия трудовой книжки, заверенной работодателем (не для всех: при дополнительном запросе комитета по займам)</w:t>
            </w:r>
          </w:p>
        </w:tc>
      </w:tr>
      <w:tr w14:paraId="697E9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AE06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14:paraId="5DAC8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потребительского займа</w:t>
            </w:r>
          </w:p>
        </w:tc>
        <w:tc>
          <w:tcPr>
            <w:tcW w:w="5743" w:type="dxa"/>
          </w:tcPr>
          <w:p w14:paraId="26648CC1">
            <w:pPr>
              <w:pStyle w:val="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«потребительский»</w:t>
            </w:r>
          </w:p>
          <w:p w14:paraId="2CF0C723">
            <w:pPr>
              <w:pStyle w:val="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«потребительский пенсионный»</w:t>
            </w:r>
          </w:p>
          <w:p w14:paraId="7647F37D">
            <w:pPr>
              <w:pStyle w:val="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«автозайм»</w:t>
            </w:r>
          </w:p>
          <w:p w14:paraId="0F323A71">
            <w:pPr>
              <w:pStyle w:val="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«социальный» </w:t>
            </w:r>
          </w:p>
          <w:p w14:paraId="2F8D3D0F">
            <w:pPr>
              <w:pStyle w:val="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DC3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EA0C3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14:paraId="578982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Суммы потребительского займа</w:t>
            </w:r>
          </w:p>
        </w:tc>
        <w:tc>
          <w:tcPr>
            <w:tcW w:w="5743" w:type="dxa"/>
          </w:tcPr>
          <w:p w14:paraId="6A515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Минимальная сумма займа – 500 рублей; максимальная сумма – 510 000 рублей.</w:t>
            </w:r>
          </w:p>
          <w:p w14:paraId="49E9FE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сумма займа, предоставленного одному члену кредитного кооператива и (или) нескольким членам кредитного кооператива, являющимся аффилированными лицами, не может превышать семи процентов общего размере задолженности по сумме основного долга, образовавшейся в связи с предоставлением займов кредитным кооперативом. Максимальная сумма займа может быть увеличена по решению Правления.</w:t>
            </w:r>
          </w:p>
        </w:tc>
      </w:tr>
      <w:tr w14:paraId="35043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AD71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14:paraId="53653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возврата потребительского займа</w:t>
            </w:r>
          </w:p>
        </w:tc>
        <w:tc>
          <w:tcPr>
            <w:tcW w:w="5743" w:type="dxa"/>
          </w:tcPr>
          <w:p w14:paraId="01123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 до 60 месяцев</w:t>
            </w:r>
          </w:p>
        </w:tc>
      </w:tr>
      <w:tr w14:paraId="49883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A1C09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14:paraId="479C3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Валюты, в которых предоставляется потребительскийзайм</w:t>
            </w:r>
          </w:p>
        </w:tc>
        <w:tc>
          <w:tcPr>
            <w:tcW w:w="5743" w:type="dxa"/>
          </w:tcPr>
          <w:p w14:paraId="65B7D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 рубль</w:t>
            </w:r>
          </w:p>
        </w:tc>
      </w:tr>
      <w:tr w14:paraId="050F8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6917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14:paraId="6C3BD1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предоставления потребительского займа, в том числе с использованием заемщиком электронных средств платежа</w:t>
            </w:r>
          </w:p>
        </w:tc>
        <w:tc>
          <w:tcPr>
            <w:tcW w:w="5743" w:type="dxa"/>
          </w:tcPr>
          <w:p w14:paraId="2A9D7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Наличными денежными средствами в кассе кредитного кооператива или перечислением на банковский счет заемщика</w:t>
            </w:r>
          </w:p>
        </w:tc>
      </w:tr>
      <w:tr w14:paraId="79D0C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DC27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14:paraId="6A2EE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Процентные ставки в процентах годовых</w:t>
            </w:r>
          </w:p>
        </w:tc>
        <w:tc>
          <w:tcPr>
            <w:tcW w:w="5743" w:type="dxa"/>
          </w:tcPr>
          <w:p w14:paraId="11188A0B">
            <w:pPr>
              <w:pStyle w:val="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Потребительский без обеспечения – 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14:paraId="527098A8">
            <w:pPr>
              <w:pStyle w:val="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Потребительский с обеспечением виде залога  - 2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14:paraId="05C168AA">
            <w:pPr>
              <w:pStyle w:val="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Пенсионный старше 70 лет – 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без обеспеч., старше 75 лет сумма до 35000 руб - 2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%., свыше 35000 руб. – 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с обеспечением </w:t>
            </w:r>
          </w:p>
          <w:p w14:paraId="6E08A124">
            <w:pPr>
              <w:pStyle w:val="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– 15</w:t>
            </w:r>
          </w:p>
          <w:p w14:paraId="1A8136AF">
            <w:pPr>
              <w:pStyle w:val="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Начисление процентов начинается со дня следующего после фактической выдачи из касса или перечисления с расчетного счета заемщику денежных средств.</w:t>
            </w:r>
          </w:p>
          <w:p w14:paraId="736BD5BD">
            <w:pPr>
              <w:pStyle w:val="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AEB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926B6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14:paraId="3EC38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суммы иных платежей заемщика по договору потребительского займа</w:t>
            </w:r>
          </w:p>
        </w:tc>
        <w:tc>
          <w:tcPr>
            <w:tcW w:w="5743" w:type="dxa"/>
          </w:tcPr>
          <w:p w14:paraId="7347F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 в страховой фонд в соответствии с Положением о порядке формирования и использования страхового фонда кредитного кооператива</w:t>
            </w:r>
          </w:p>
        </w:tc>
      </w:tr>
      <w:tr w14:paraId="30823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73548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14:paraId="172FB9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Диапазоны значений полной стоимости потребительского займа, определенных с учетом требований ФЗ РФ от 21 декабря 2013г. № 353-ФЗ «О потребительском кредите (займе)» по видам потребительского займа</w:t>
            </w:r>
          </w:p>
        </w:tc>
        <w:tc>
          <w:tcPr>
            <w:tcW w:w="5743" w:type="dxa"/>
          </w:tcPr>
          <w:p w14:paraId="16E484EB">
            <w:pPr>
              <w:pStyle w:val="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«потребительский с залогом» - </w:t>
            </w:r>
            <w:r>
              <w:rPr>
                <w:rFonts w:hint="default" w:ascii="Times New Roman" w:hAnsi="Times New Roman" w:cs="Times New Roman"/>
                <w:lang w:val="ru-RU"/>
              </w:rPr>
              <w:t>31,139-41,519</w:t>
            </w:r>
          </w:p>
          <w:p w14:paraId="7A8E189E">
            <w:pPr>
              <w:pStyle w:val="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«потребительский с иным обеспечением»</w:t>
            </w:r>
          </w:p>
          <w:p w14:paraId="416C1F8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 365 дней – </w:t>
            </w:r>
            <w:r>
              <w:rPr>
                <w:rFonts w:hint="default" w:ascii="Times New Roman" w:hAnsi="Times New Roman" w:cs="Times New Roman"/>
                <w:lang w:val="ru-RU"/>
              </w:rPr>
              <w:t>24,679-32,905</w:t>
            </w:r>
          </w:p>
          <w:p w14:paraId="78E55A1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свыше 365 дней – </w:t>
            </w:r>
            <w:r>
              <w:rPr>
                <w:rFonts w:hint="default" w:ascii="Times New Roman" w:hAnsi="Times New Roman" w:cs="Times New Roman"/>
                <w:lang w:val="ru-RU"/>
              </w:rPr>
              <w:t>33,279-44,372</w:t>
            </w:r>
          </w:p>
          <w:p w14:paraId="19D5B535">
            <w:pPr>
              <w:pStyle w:val="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«потребительский без обеспечения:</w:t>
            </w:r>
          </w:p>
          <w:p w14:paraId="1D690EB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 до 30 дней до 30т.р -</w:t>
            </w:r>
            <w:r>
              <w:rPr>
                <w:rFonts w:hint="default" w:ascii="Times New Roman" w:hAnsi="Times New Roman" w:cs="Times New Roman"/>
                <w:lang w:val="ru-RU"/>
              </w:rPr>
              <w:t>177,968-237,291</w:t>
            </w:r>
          </w:p>
          <w:p w14:paraId="27EF4EE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 до 30 дней свыше 30т.р. -</w:t>
            </w:r>
            <w:r>
              <w:rPr>
                <w:rFonts w:hint="default" w:ascii="Times New Roman" w:hAnsi="Times New Roman" w:cs="Times New Roman"/>
                <w:lang w:val="ru-RU"/>
              </w:rPr>
              <w:t>12,960-17,280</w:t>
            </w:r>
          </w:p>
          <w:p w14:paraId="3151DA4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от 31 до 60 дней до 30т.р – </w:t>
            </w:r>
            <w:r>
              <w:rPr>
                <w:rFonts w:hint="default" w:ascii="Times New Roman" w:hAnsi="Times New Roman" w:cs="Times New Roman"/>
                <w:lang w:val="ru-RU"/>
              </w:rPr>
              <w:t>98,712-131,616</w:t>
            </w:r>
          </w:p>
          <w:p w14:paraId="5D1DD6A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от 31 до 60 дней свыше 30т.р – </w:t>
            </w:r>
            <w:r>
              <w:rPr>
                <w:rFonts w:hint="default" w:ascii="Times New Roman" w:hAnsi="Times New Roman" w:cs="Times New Roman"/>
                <w:lang w:val="ru-RU"/>
              </w:rPr>
              <w:t>17,000-22,667</w:t>
            </w:r>
          </w:p>
          <w:p w14:paraId="5E10A3B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от 61 до 180 дней до 30т.р – </w:t>
            </w:r>
            <w:r>
              <w:rPr>
                <w:rFonts w:hint="default" w:ascii="Times New Roman" w:hAnsi="Times New Roman" w:cs="Times New Roman"/>
                <w:lang w:val="ru-RU"/>
              </w:rPr>
              <w:t>128,625-171,500</w:t>
            </w:r>
          </w:p>
          <w:p w14:paraId="2E5D296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от 61 до 180 дней св. 30т.р. до 100т.р. – </w:t>
            </w:r>
            <w:r>
              <w:rPr>
                <w:rFonts w:hint="default" w:ascii="Times New Roman" w:hAnsi="Times New Roman" w:cs="Times New Roman"/>
                <w:lang w:val="ru-RU"/>
              </w:rPr>
              <w:t>125,803-167,737</w:t>
            </w:r>
          </w:p>
          <w:p w14:paraId="7855735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от 61 до 180 дней свыше 100т.р. – </w:t>
            </w:r>
            <w:r>
              <w:rPr>
                <w:rFonts w:hint="default" w:ascii="Times New Roman" w:hAnsi="Times New Roman" w:cs="Times New Roman"/>
                <w:lang w:val="ru-RU"/>
              </w:rPr>
              <w:t>19,351-25,801</w:t>
            </w:r>
          </w:p>
          <w:p w14:paraId="7FC7176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от 181 до 365 дней до 30т.р – </w:t>
            </w:r>
            <w:r>
              <w:rPr>
                <w:rFonts w:hint="default" w:ascii="Times New Roman" w:hAnsi="Times New Roman" w:cs="Times New Roman"/>
                <w:lang w:val="ru-RU"/>
              </w:rPr>
              <w:t>69,725-92,967</w:t>
            </w:r>
          </w:p>
          <w:p w14:paraId="6E03041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от 181 до 365 дней св. 30т.р. до 60т.р – </w:t>
            </w:r>
            <w:r>
              <w:rPr>
                <w:rFonts w:hint="default" w:ascii="Times New Roman" w:hAnsi="Times New Roman" w:cs="Times New Roman"/>
                <w:lang w:val="ru-RU"/>
              </w:rPr>
              <w:t>49,980-66,640</w:t>
            </w:r>
          </w:p>
          <w:p w14:paraId="274E31F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от 181 до 365 дней св. 60т.р. до 100т.р- </w:t>
            </w:r>
            <w:r>
              <w:rPr>
                <w:rFonts w:hint="default" w:ascii="Times New Roman" w:hAnsi="Times New Roman" w:cs="Times New Roman"/>
                <w:lang w:val="ru-RU"/>
              </w:rPr>
              <w:t>42,585-56,780</w:t>
            </w:r>
          </w:p>
          <w:p w14:paraId="4283DC7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от 181 до 365 дней св. 100т.р – </w:t>
            </w:r>
            <w:r>
              <w:rPr>
                <w:rFonts w:hint="default" w:ascii="Times New Roman" w:hAnsi="Times New Roman" w:cs="Times New Roman"/>
                <w:lang w:val="ru-RU"/>
              </w:rPr>
              <w:t>20,584-27,445</w:t>
            </w:r>
          </w:p>
          <w:p w14:paraId="26FA02A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свыше 365 дней до 30т.р. –</w:t>
            </w:r>
            <w:r>
              <w:rPr>
                <w:rFonts w:hint="default" w:ascii="Times New Roman" w:hAnsi="Times New Roman" w:cs="Times New Roman"/>
                <w:lang w:val="ru-RU"/>
              </w:rPr>
              <w:t>63,129-84,172</w:t>
            </w:r>
          </w:p>
          <w:p w14:paraId="61571C2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свыше 365 дней св. 30т.р. до 60т.р. –</w:t>
            </w:r>
            <w:r>
              <w:rPr>
                <w:rFonts w:hint="default" w:ascii="Times New Roman" w:hAnsi="Times New Roman" w:cs="Times New Roman"/>
                <w:lang w:val="ru-RU"/>
              </w:rPr>
              <w:t>64,418-85,891</w:t>
            </w:r>
          </w:p>
          <w:p w14:paraId="5D697EA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свыше 365 дней св. 60т.р. до 100т.р – </w:t>
            </w:r>
            <w:r>
              <w:rPr>
                <w:rFonts w:hint="default" w:ascii="Times New Roman" w:hAnsi="Times New Roman" w:cs="Times New Roman"/>
                <w:lang w:val="ru-RU"/>
              </w:rPr>
              <w:t>48,321-64,428</w:t>
            </w:r>
          </w:p>
          <w:p w14:paraId="5C62001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свыше 365 дней св. 100т.р. – </w:t>
            </w:r>
            <w:r>
              <w:rPr>
                <w:rFonts w:hint="default" w:ascii="Times New Roman" w:hAnsi="Times New Roman" w:cs="Times New Roman"/>
                <w:lang w:val="ru-RU"/>
              </w:rPr>
              <w:t>26,018-34,691</w:t>
            </w:r>
          </w:p>
          <w:p w14:paraId="35CDB190">
            <w:pPr>
              <w:pStyle w:val="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«потребительские займы с обеспечением в виде ипотеки» - </w:t>
            </w:r>
            <w:r>
              <w:rPr>
                <w:rFonts w:hint="default" w:ascii="Times New Roman" w:hAnsi="Times New Roman" w:cs="Times New Roman"/>
                <w:lang w:val="ru-RU"/>
              </w:rPr>
              <w:t>23,931-31,908</w:t>
            </w:r>
            <w:bookmarkStart w:id="0" w:name="_GoBack"/>
            <w:bookmarkEnd w:id="0"/>
          </w:p>
        </w:tc>
      </w:tr>
      <w:tr w14:paraId="3102B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421F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14:paraId="164B9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платежей заемщика при возврате потребительского займа, уплате процентов и иных платежей по займу</w:t>
            </w:r>
          </w:p>
        </w:tc>
        <w:tc>
          <w:tcPr>
            <w:tcW w:w="5743" w:type="dxa"/>
          </w:tcPr>
          <w:p w14:paraId="1C8988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не позднее дня, определенного в индивидуальных условиях договора потребительского займа и в графике платежей, либо возврат суммы займа происходит единовременно в день, определенный в индивидуальных условиях потребительского займа и в графике платежей (дата возврата займа) с уплатой процентов ежемесячно, не позднее дня, определенного в индивидуальных условиях договора потребительского займа и в графике платежей.</w:t>
            </w:r>
          </w:p>
        </w:tc>
      </w:tr>
      <w:tr w14:paraId="27AAC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1B93D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5" w:type="dxa"/>
          </w:tcPr>
          <w:p w14:paraId="028CD3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возврата заемщиком потребительского займа, уплаты процентов по нему</w:t>
            </w:r>
          </w:p>
        </w:tc>
        <w:tc>
          <w:tcPr>
            <w:tcW w:w="5743" w:type="dxa"/>
          </w:tcPr>
          <w:p w14:paraId="4D20BD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1.Наличными денежными средствами в кассе кредитного кооператива;</w:t>
            </w:r>
          </w:p>
          <w:p w14:paraId="42E8A1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Перечислением на банковский счет кредитного кооператива по следующим реквизитам: ИНН 2203000655, КПП , р/счет в «Сибсоцбанк» ООО г.Барнаул,  БИК 040173745,     К/сч 30101810800000000745</w:t>
            </w:r>
          </w:p>
          <w:p w14:paraId="798833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списанием суммы паенакоплений на оплату последнего(их) платежей или личных сбережений заемщика по заявления заемщика.</w:t>
            </w:r>
          </w:p>
        </w:tc>
      </w:tr>
      <w:tr w14:paraId="6F24D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A647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14:paraId="7349FA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Бесплатный способ исполнения заемщиком обязательств по договору потребительского займа</w:t>
            </w:r>
          </w:p>
        </w:tc>
        <w:tc>
          <w:tcPr>
            <w:tcW w:w="5743" w:type="dxa"/>
          </w:tcPr>
          <w:p w14:paraId="389074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Наличными денежными средствами в кассе в офисе кредитного кооператива, расположенного в месте получения заемщиком оферты, а также в любом ином обособленном подразделении кредитного кооператива. Местом получения оферты признается муниципальное образование, в котором заемщиком и кредитным кооперативом подписаны индивидуальные условия потребительского займа.</w:t>
            </w:r>
          </w:p>
        </w:tc>
      </w:tr>
      <w:tr w14:paraId="321E2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49C6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5" w:type="dxa"/>
          </w:tcPr>
          <w:p w14:paraId="10F48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Сроки, в течение которых заемщик вправе отказаться от получения потребительского займа</w:t>
            </w:r>
          </w:p>
        </w:tc>
        <w:tc>
          <w:tcPr>
            <w:tcW w:w="5743" w:type="dxa"/>
          </w:tcPr>
          <w:p w14:paraId="3776DD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Заемщик вправе отказаться от получения потребительского займа с момента предоставления кредитным кооперативом заемщику индивидуальных условий потребительского займа и до момента получения денежных средств, уведомив об этом кооператив способом, который использовался для подачи заявления о предоставлении потребительского займа.</w:t>
            </w:r>
            <w:r>
              <w:rPr>
                <w:color w:val="000000"/>
                <w:sz w:val="30"/>
                <w:szCs w:val="3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Заемщик вправе отказаться от получения потребительского кредита (займа) полностью или частично, уведомив об этом кредитора до истечения установленного договором срока его предоставления или до истечения сроков, установленных </w:t>
            </w:r>
            <w:r>
              <w:fldChar w:fldCharType="begin"/>
            </w:r>
            <w:r>
              <w:instrText xml:space="preserve"> HYPERLINK "https://www.consultant.ru/document/cons_doc_LAW_499917/5bf96f6f9c3054d6934e4fa63a9dac27e0b56b53/" \l "dst386"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color w:val="1A0DAB"/>
                <w:sz w:val="24"/>
                <w:szCs w:val="24"/>
                <w:shd w:val="clear" w:color="auto" w:fill="FFFFFF"/>
              </w:rPr>
              <w:t>частью 9.3 статьи 7</w:t>
            </w:r>
            <w:r>
              <w:rPr>
                <w:rStyle w:val="4"/>
                <w:rFonts w:ascii="Times New Roman" w:hAnsi="Times New Roman" w:cs="Times New Roman"/>
                <w:color w:val="1A0DAB"/>
                <w:sz w:val="24"/>
                <w:szCs w:val="24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настоящего Федерального закона.</w:t>
            </w:r>
          </w:p>
        </w:tc>
      </w:tr>
      <w:tr w14:paraId="205C6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62585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5" w:type="dxa"/>
          </w:tcPr>
          <w:p w14:paraId="1E15C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обеспечения исполнения обязательств по договору потребительского займа</w:t>
            </w:r>
          </w:p>
        </w:tc>
        <w:tc>
          <w:tcPr>
            <w:tcW w:w="5743" w:type="dxa"/>
          </w:tcPr>
          <w:p w14:paraId="41CD0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Обязательный и добровольный паевые взносы, поручительство других членов кооператива или третьих лиц, залог движимого или недвижимого  имущества, неустойка (пеня)</w:t>
            </w:r>
          </w:p>
        </w:tc>
      </w:tr>
      <w:tr w14:paraId="3A990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0B940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5" w:type="dxa"/>
          </w:tcPr>
          <w:p w14:paraId="1FAB0B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Ответственность заемщика за ненадлежащее исполнение  договора потребительского займа, размер неустойки, порядок ее расчета, а также информация о том, в каких случаях данные санкции могут быть применены.</w:t>
            </w:r>
          </w:p>
        </w:tc>
        <w:tc>
          <w:tcPr>
            <w:tcW w:w="5743" w:type="dxa"/>
          </w:tcPr>
          <w:p w14:paraId="6FCC70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несвоевременного внесения платежа в соответствии с графиком платежей на невозвращенную в срок часть займа начисляется пеня в размере 0.0547% за каждый день просрочки. При этом проценты за соответствующий период нарушения обязательства начисляются.</w:t>
            </w:r>
          </w:p>
          <w:p w14:paraId="1C817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направлении материалов в судебные органы для принудительного взыскания суммы займа, и других причитающихся в соответствие с договором платежей, начисление процентов за пользование займов не приостанавливается, и производится до полного погашения суммы иска, указанной в судебном акте (решение суда), кроме судебных приказов.</w:t>
            </w:r>
          </w:p>
        </w:tc>
      </w:tr>
      <w:tr w14:paraId="375F3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B210B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5" w:type="dxa"/>
          </w:tcPr>
          <w:p w14:paraId="3150C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иных договорах, которые заемщик обязан заключить, и (или) иных услугах, которые он обязан получить в связи с договором потребительского займа, а также информация о возможности заемщика согласиться с заключением таких договоров и (или) оказанием таких услуг, либо отказаться от них</w:t>
            </w:r>
          </w:p>
          <w:p w14:paraId="451D4C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14:paraId="0D28D7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D1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обеспечении исполнения обязательств по договору потребительского займа залогом имущества заемщика заемщик обязан заключить с кредитным кооперативом договор залога. </w:t>
            </w:r>
          </w:p>
        </w:tc>
      </w:tr>
      <w:tr w14:paraId="5FEE2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E2C77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5" w:type="dxa"/>
          </w:tcPr>
          <w:p w14:paraId="3B7D0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возможном увеличении суммы расходов заемщика по сравнению с ожидаемой суммой расходов в рублях, в том числе при применении переменной процентной ставки, а также информация о том, что изменение курса иностранной валюты в прошлом не свидетельствует об изменении ее курса в будущем (для потребительских займов в иностранной валюте)</w:t>
            </w:r>
          </w:p>
          <w:p w14:paraId="18032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14:paraId="6A1164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заключенным между кредитным кооперативом и заемщиком договорам при надлежащем исполнении обязательств увеличение суммы расходов заемщика по сравнению с ожидаемой суммой расходов в рублях невозможно.</w:t>
            </w:r>
          </w:p>
          <w:p w14:paraId="6433A0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Процентная ставка по договору займа неизменна и изменению не подлежит.</w:t>
            </w:r>
          </w:p>
        </w:tc>
      </w:tr>
      <w:tr w14:paraId="34A09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39AC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5" w:type="dxa"/>
          </w:tcPr>
          <w:p w14:paraId="56065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определении курса иностранной валюты в случае, если валюта, в которой осуществляется перевод денежных средств кредитором третьему лицу, указанному заемщиком при предоставлении потребительского займа, может отличаться от валюты потребительского займа.</w:t>
            </w:r>
          </w:p>
        </w:tc>
        <w:tc>
          <w:tcPr>
            <w:tcW w:w="5743" w:type="dxa"/>
          </w:tcPr>
          <w:p w14:paraId="4C3397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применимо</w:t>
            </w:r>
          </w:p>
        </w:tc>
      </w:tr>
      <w:tr w14:paraId="0D002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D13B9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5" w:type="dxa"/>
          </w:tcPr>
          <w:p w14:paraId="4200F7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возможности запрета уступки кредитором третьим лицам прав (требований) по договору потребительского займа</w:t>
            </w:r>
          </w:p>
        </w:tc>
        <w:tc>
          <w:tcPr>
            <w:tcW w:w="5743" w:type="dxa"/>
          </w:tcPr>
          <w:p w14:paraId="600B07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Кооператив вправе осуществлять уступку прав (требований) по настоящему договору третьим лицам, с передачей персональных данных заемщика.  Заемщик выражает свое согласие на предоставление вышеуказанной информации. Заемщик имеет право запретить Займодавцу уступку третьим лицам прав (требований) по договору потребительского займа.</w:t>
            </w:r>
          </w:p>
          <w:p w14:paraId="555E5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E34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F00AA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5" w:type="dxa"/>
          </w:tcPr>
          <w:p w14:paraId="16DD1A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предоставления заемщиком информации об использовании потребительского займа (при включении в договор потребительского займа условия об использовании заемщиком полученного потребительского займа на определенные цели)</w:t>
            </w:r>
          </w:p>
          <w:p w14:paraId="5FDF76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14:paraId="21607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Заемщик обязан предоставить оригинал ПТС на приобретаемый автомобиль по виду займа «Автозайм».</w:t>
            </w:r>
          </w:p>
          <w:p w14:paraId="4A0887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ED30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89709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5" w:type="dxa"/>
          </w:tcPr>
          <w:p w14:paraId="7D435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Подсудность споров по искам кредитора к заемщику</w:t>
            </w:r>
          </w:p>
        </w:tc>
        <w:tc>
          <w:tcPr>
            <w:tcW w:w="5743" w:type="dxa"/>
          </w:tcPr>
          <w:p w14:paraId="04D9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не разрешения спора в претензионном порядке, в том числе в связи с истечением срока рассмотрения претензии, спор подлежит рассмотрению в Белокурихинском городском суде или  и в судебном участке мирового судьи по г.Белокурихе Алтайского края по адресу: 659900, Алтайский край, г.Белокуриха, ул.Братьев Ждановых, 23</w:t>
            </w:r>
          </w:p>
          <w:p w14:paraId="3F8905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5DC8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06C1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5" w:type="dxa"/>
          </w:tcPr>
          <w:p w14:paraId="4ECB34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Формуляры или иные стандартные формы, в которых определены общие условия договора потребительского займа</w:t>
            </w:r>
          </w:p>
        </w:tc>
        <w:tc>
          <w:tcPr>
            <w:tcW w:w="5743" w:type="dxa"/>
          </w:tcPr>
          <w:p w14:paraId="4AE386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условия договора потребительского займа определены в Положении о порядке предоставления займов членам кредитного кооператива и в договорах потребительского займа.</w:t>
            </w:r>
          </w:p>
          <w:p w14:paraId="73BEA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 – образец типового договора потребительского займа.</w:t>
            </w:r>
          </w:p>
          <w:p w14:paraId="7762A7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389E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E8E9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Вышеизложенная информация предназначена для неограниченного круга лиц в целях раскрытия информации о деятельности кредитного кооператива в соответствии с требованиями действующего законодательства. Настоящий документ носит информационный характер и не является публичной офертой, приглашением делать оферты. Общие и индивидуальные условия договора потребительского займа, заключаемого кредитным кооперативом с членами кооператива, соответствуют вышеизложенной информации в течение всего срока действия настоящей редакции настоящего документа.</w:t>
      </w:r>
    </w:p>
    <w:p w14:paraId="14705B27">
      <w:pPr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624" w:right="720" w:bottom="624" w:left="72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447DB1"/>
    <w:multiLevelType w:val="multilevel"/>
    <w:tmpl w:val="03447DB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92270"/>
    <w:multiLevelType w:val="multilevel"/>
    <w:tmpl w:val="0D69227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6F5250"/>
    <w:multiLevelType w:val="multilevel"/>
    <w:tmpl w:val="2C6F525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86CD9"/>
    <w:rsid w:val="00006427"/>
    <w:rsid w:val="00037C18"/>
    <w:rsid w:val="00063181"/>
    <w:rsid w:val="0007337B"/>
    <w:rsid w:val="00084E6D"/>
    <w:rsid w:val="000A2DC5"/>
    <w:rsid w:val="000A3EA5"/>
    <w:rsid w:val="001350DB"/>
    <w:rsid w:val="001429E9"/>
    <w:rsid w:val="00192DF8"/>
    <w:rsid w:val="001B4F1D"/>
    <w:rsid w:val="001E23C1"/>
    <w:rsid w:val="00223BDF"/>
    <w:rsid w:val="00244ED8"/>
    <w:rsid w:val="002503C6"/>
    <w:rsid w:val="00276370"/>
    <w:rsid w:val="00281BE0"/>
    <w:rsid w:val="00282A99"/>
    <w:rsid w:val="00296715"/>
    <w:rsid w:val="002A040C"/>
    <w:rsid w:val="002B5572"/>
    <w:rsid w:val="002B6E94"/>
    <w:rsid w:val="002F4938"/>
    <w:rsid w:val="003213AB"/>
    <w:rsid w:val="003320E2"/>
    <w:rsid w:val="0035062A"/>
    <w:rsid w:val="00395FA3"/>
    <w:rsid w:val="003D6FD2"/>
    <w:rsid w:val="003E3DD9"/>
    <w:rsid w:val="00405341"/>
    <w:rsid w:val="00442651"/>
    <w:rsid w:val="00466443"/>
    <w:rsid w:val="00497B50"/>
    <w:rsid w:val="004B0602"/>
    <w:rsid w:val="004F2BF8"/>
    <w:rsid w:val="004F4509"/>
    <w:rsid w:val="0055583F"/>
    <w:rsid w:val="00573EA2"/>
    <w:rsid w:val="00586961"/>
    <w:rsid w:val="00621CBF"/>
    <w:rsid w:val="006A7229"/>
    <w:rsid w:val="006B3312"/>
    <w:rsid w:val="007013B6"/>
    <w:rsid w:val="007566B4"/>
    <w:rsid w:val="007637D2"/>
    <w:rsid w:val="0077386A"/>
    <w:rsid w:val="0077729F"/>
    <w:rsid w:val="007A5DA8"/>
    <w:rsid w:val="007D2B4F"/>
    <w:rsid w:val="008660C8"/>
    <w:rsid w:val="00867531"/>
    <w:rsid w:val="008767CC"/>
    <w:rsid w:val="008873ED"/>
    <w:rsid w:val="008A244F"/>
    <w:rsid w:val="00913F4D"/>
    <w:rsid w:val="00941F1C"/>
    <w:rsid w:val="00995888"/>
    <w:rsid w:val="009E0EA1"/>
    <w:rsid w:val="009E1731"/>
    <w:rsid w:val="009E1E75"/>
    <w:rsid w:val="00A12359"/>
    <w:rsid w:val="00A8346E"/>
    <w:rsid w:val="00AD5BC4"/>
    <w:rsid w:val="00AD7FBC"/>
    <w:rsid w:val="00AE012F"/>
    <w:rsid w:val="00AE02FE"/>
    <w:rsid w:val="00AF2748"/>
    <w:rsid w:val="00B416D7"/>
    <w:rsid w:val="00B510D7"/>
    <w:rsid w:val="00B719C0"/>
    <w:rsid w:val="00B77073"/>
    <w:rsid w:val="00BC7A16"/>
    <w:rsid w:val="00C367B6"/>
    <w:rsid w:val="00C807E5"/>
    <w:rsid w:val="00C85206"/>
    <w:rsid w:val="00CB477A"/>
    <w:rsid w:val="00CD140C"/>
    <w:rsid w:val="00D86CD9"/>
    <w:rsid w:val="00DE6017"/>
    <w:rsid w:val="00E03011"/>
    <w:rsid w:val="00E27067"/>
    <w:rsid w:val="00E32C7C"/>
    <w:rsid w:val="00E428B3"/>
    <w:rsid w:val="00E94D02"/>
    <w:rsid w:val="00E958C3"/>
    <w:rsid w:val="00EB6083"/>
    <w:rsid w:val="00EC3140"/>
    <w:rsid w:val="00ED6A70"/>
    <w:rsid w:val="00F2053C"/>
    <w:rsid w:val="00F406C2"/>
    <w:rsid w:val="00F544BC"/>
    <w:rsid w:val="00FA63AF"/>
    <w:rsid w:val="00FD49EE"/>
    <w:rsid w:val="00FE2C2F"/>
    <w:rsid w:val="026451C0"/>
    <w:rsid w:val="40D9419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</Company>
  <Pages>5</Pages>
  <Words>1577</Words>
  <Characters>10787</Characters>
  <Lines>93</Lines>
  <Paragraphs>26</Paragraphs>
  <TotalTime>527</TotalTime>
  <ScaleCrop>false</ScaleCrop>
  <LinksUpToDate>false</LinksUpToDate>
  <CharactersWithSpaces>12865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2017-06-17T11:54:00Z</dcterms:created>
  <dc:creator>User</dc:creator>
  <cp:lastModifiedBy>WPS_1782720492</cp:lastModifiedBy>
  <cp:lastPrinted>2026-07-06T10:26:05Z</cp:lastPrinted>
  <dcterms:modified xsi:type="dcterms:W3CDTF">2026-07-06T10:26:10Z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eyJoZGlkIjoiYWQwYmI5MTNmZGI2NGFkNzkwMTdjNDhmNzE5ZDcxNWUiLCJ1c2VySWQiOiI4MjQ2MzY3ODYzNzUifQ==</vt:lpwstr>
  </property>
  <property fmtid="{D5CDD505-2E9C-101B-9397-08002B2CF9AE}" pid="3" name="KSOProductBuildVer">
    <vt:lpwstr>1049-12.1.0.26880</vt:lpwstr>
  </property>
  <property fmtid="{D5CDD505-2E9C-101B-9397-08002B2CF9AE}" pid="4" name="ICV">
    <vt:lpwstr>73829E16B05542ACB5245153D1ECA6DE_12</vt:lpwstr>
  </property>
</Properties>
</file>